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5C" w:rsidRPr="00CA4B04" w:rsidRDefault="00E06B5C" w:rsidP="00B74ED4">
      <w:pPr>
        <w:jc w:val="center"/>
        <w:rPr>
          <w:rFonts w:eastAsia="Calibri"/>
          <w:b/>
          <w:sz w:val="24"/>
          <w:lang w:eastAsia="en-US"/>
        </w:rPr>
      </w:pPr>
      <w:r w:rsidRPr="00CA4B04">
        <w:rPr>
          <w:rFonts w:eastAsia="Calibri"/>
          <w:b/>
          <w:sz w:val="24"/>
          <w:lang w:eastAsia="en-US"/>
        </w:rPr>
        <w:t>Основные итоги работы</w:t>
      </w:r>
    </w:p>
    <w:p w:rsidR="00E06B5C" w:rsidRPr="00CA4B04" w:rsidRDefault="00E06B5C" w:rsidP="00B74ED4">
      <w:pPr>
        <w:jc w:val="center"/>
        <w:rPr>
          <w:rFonts w:eastAsia="Calibri"/>
          <w:b/>
          <w:sz w:val="24"/>
          <w:lang w:eastAsia="en-US"/>
        </w:rPr>
      </w:pPr>
      <w:proofErr w:type="gramStart"/>
      <w:r w:rsidRPr="00CA4B04">
        <w:rPr>
          <w:rFonts w:eastAsia="Calibri"/>
          <w:b/>
          <w:sz w:val="24"/>
          <w:lang w:eastAsia="en-US"/>
        </w:rPr>
        <w:t>Волгоградского</w:t>
      </w:r>
      <w:proofErr w:type="gramEnd"/>
      <w:r w:rsidRPr="00CA4B04">
        <w:rPr>
          <w:rFonts w:eastAsia="Calibri"/>
          <w:b/>
          <w:sz w:val="24"/>
          <w:lang w:eastAsia="en-US"/>
        </w:rPr>
        <w:t xml:space="preserve"> УФАС России за 2019 год</w:t>
      </w:r>
    </w:p>
    <w:p w:rsidR="00E06B5C" w:rsidRPr="00CA4B04" w:rsidRDefault="00E06B5C" w:rsidP="00B74ED4">
      <w:pPr>
        <w:pStyle w:val="Style6"/>
        <w:widowControl/>
        <w:ind w:firstLine="706"/>
        <w:contextualSpacing/>
        <w:jc w:val="both"/>
        <w:rPr>
          <w:rStyle w:val="FontStyle19"/>
        </w:rPr>
      </w:pPr>
    </w:p>
    <w:p w:rsidR="00B41B84" w:rsidRPr="00CA4B04" w:rsidRDefault="00243EA8" w:rsidP="00B74ED4">
      <w:pPr>
        <w:pStyle w:val="Style6"/>
        <w:widowControl/>
        <w:ind w:firstLine="706"/>
        <w:contextualSpacing/>
        <w:jc w:val="both"/>
        <w:rPr>
          <w:rStyle w:val="FontStyle19"/>
        </w:rPr>
      </w:pPr>
      <w:r w:rsidRPr="00CA4B04">
        <w:rPr>
          <w:rStyle w:val="FontStyle19"/>
        </w:rPr>
        <w:t>Сводная и</w:t>
      </w:r>
      <w:r w:rsidR="00B41B84" w:rsidRPr="00CA4B04">
        <w:rPr>
          <w:rStyle w:val="FontStyle19"/>
        </w:rPr>
        <w:t>нформация о результатах деятельности за 201</w:t>
      </w:r>
      <w:r w:rsidR="00EA547F" w:rsidRPr="00CA4B04">
        <w:rPr>
          <w:rStyle w:val="FontStyle19"/>
        </w:rPr>
        <w:t>9</w:t>
      </w:r>
      <w:r w:rsidR="00B41B84" w:rsidRPr="00CA4B04">
        <w:rPr>
          <w:rStyle w:val="FontStyle19"/>
        </w:rPr>
        <w:t xml:space="preserve"> год.</w:t>
      </w:r>
    </w:p>
    <w:p w:rsidR="006F0196" w:rsidRPr="00CA4B04" w:rsidRDefault="006F0196" w:rsidP="00B74ED4">
      <w:pPr>
        <w:pStyle w:val="Style4"/>
        <w:spacing w:line="240" w:lineRule="auto"/>
        <w:contextualSpacing/>
        <w:rPr>
          <w:rStyle w:val="FontStyle20"/>
        </w:rPr>
      </w:pPr>
      <w:r w:rsidRPr="00CA4B04">
        <w:rPr>
          <w:rStyle w:val="FontStyle20"/>
        </w:rPr>
        <w:t>Общее количество рассмотренных дел о нарушениях</w:t>
      </w:r>
      <w:r w:rsidRPr="00CA4B04">
        <w:rPr>
          <w:rStyle w:val="FontStyle20"/>
          <w:b/>
        </w:rPr>
        <w:t xml:space="preserve"> </w:t>
      </w:r>
      <w:r w:rsidRPr="00CA4B04">
        <w:rPr>
          <w:rStyle w:val="FontStyle20"/>
        </w:rPr>
        <w:t>антимонопольного законодательства, законодательства о рекламе, законодательства о контрактной системе, о торговой деятельности и о нарушении процедур торгов, проведение которых является обязательным (в порядке ст. 18.1 Федерального закона от 26.07.2006 № 135-Ф3 «О защите конкуренции»</w:t>
      </w:r>
      <w:r w:rsidR="00323245" w:rsidRPr="00CA4B04">
        <w:rPr>
          <w:rStyle w:val="FontStyle20"/>
        </w:rPr>
        <w:t xml:space="preserve"> (далее – Закон о защите конкуренции)</w:t>
      </w:r>
      <w:r w:rsidRPr="00CA4B04">
        <w:rPr>
          <w:rStyle w:val="FontStyle20"/>
        </w:rPr>
        <w:t>), за 2019 год составило 98</w:t>
      </w:r>
      <w:r w:rsidR="009E7624" w:rsidRPr="00CA4B04">
        <w:rPr>
          <w:rStyle w:val="FontStyle20"/>
        </w:rPr>
        <w:t>0</w:t>
      </w:r>
      <w:r w:rsidRPr="00CA4B04">
        <w:rPr>
          <w:rStyle w:val="FontStyle20"/>
        </w:rPr>
        <w:t xml:space="preserve"> дел.</w:t>
      </w:r>
    </w:p>
    <w:p w:rsidR="006F0196" w:rsidRPr="00CA4B04" w:rsidRDefault="006F0196" w:rsidP="00B74ED4">
      <w:pPr>
        <w:pStyle w:val="Style4"/>
        <w:spacing w:line="240" w:lineRule="auto"/>
        <w:contextualSpacing/>
        <w:rPr>
          <w:rStyle w:val="FontStyle20"/>
        </w:rPr>
      </w:pPr>
      <w:proofErr w:type="gramStart"/>
      <w:r w:rsidRPr="00CA4B04">
        <w:rPr>
          <w:rStyle w:val="FontStyle20"/>
        </w:rPr>
        <w:t xml:space="preserve">Наибольшую долю из них составили дела о нарушениях законодательства о контрактной системе </w:t>
      </w:r>
      <w:r w:rsidR="00D553BE" w:rsidRPr="00CA4B04">
        <w:rPr>
          <w:rStyle w:val="FontStyle20"/>
        </w:rPr>
        <w:t>–</w:t>
      </w:r>
      <w:r w:rsidRPr="00CA4B04">
        <w:rPr>
          <w:rStyle w:val="FontStyle20"/>
        </w:rPr>
        <w:t xml:space="preserve"> 714 дел и дела, возбужденные в связи с нарушениями процедур торгов, проведение которых является обязательным (в порядке ст. 18.1 </w:t>
      </w:r>
      <w:r w:rsidR="00323245" w:rsidRPr="00CA4B04">
        <w:rPr>
          <w:rStyle w:val="FontStyle20"/>
        </w:rPr>
        <w:t>Закона о защите конкуренции</w:t>
      </w:r>
      <w:r w:rsidRPr="00CA4B04">
        <w:rPr>
          <w:rStyle w:val="FontStyle20"/>
        </w:rPr>
        <w:t>) – 1</w:t>
      </w:r>
      <w:r w:rsidR="009E7624" w:rsidRPr="00CA4B04">
        <w:rPr>
          <w:rStyle w:val="FontStyle20"/>
        </w:rPr>
        <w:t>49</w:t>
      </w:r>
      <w:r w:rsidRPr="00CA4B04">
        <w:rPr>
          <w:rStyle w:val="FontStyle20"/>
        </w:rPr>
        <w:t xml:space="preserve"> дел, </w:t>
      </w:r>
      <w:r w:rsidR="009E7624" w:rsidRPr="00CA4B04">
        <w:rPr>
          <w:rStyle w:val="FontStyle20"/>
        </w:rPr>
        <w:t xml:space="preserve">83 дела о нарушении рекламного законодательства, 35 дел о нарушении антимонопольного законодательства, </w:t>
      </w:r>
      <w:r w:rsidRPr="00CA4B04">
        <w:rPr>
          <w:rStyle w:val="FontStyle20"/>
        </w:rPr>
        <w:t>а также 95 дел, возбуждённых по фактам нару</w:t>
      </w:r>
      <w:r w:rsidR="009E7624" w:rsidRPr="00CA4B04">
        <w:rPr>
          <w:rStyle w:val="FontStyle20"/>
        </w:rPr>
        <w:t>шений в сфере электроэнергетики</w:t>
      </w:r>
      <w:proofErr w:type="gramEnd"/>
      <w:r w:rsidR="00F25DC9" w:rsidRPr="00CA4B04">
        <w:rPr>
          <w:rStyle w:val="FontStyle20"/>
        </w:rPr>
        <w:t xml:space="preserve"> (</w:t>
      </w:r>
      <w:proofErr w:type="spellStart"/>
      <w:proofErr w:type="gramStart"/>
      <w:r w:rsidR="00F25DC9" w:rsidRPr="00CA4B04">
        <w:rPr>
          <w:rStyle w:val="FontStyle20"/>
        </w:rPr>
        <w:t>техприс</w:t>
      </w:r>
      <w:proofErr w:type="spellEnd"/>
      <w:r w:rsidR="00F25DC9" w:rsidRPr="00CA4B04">
        <w:rPr>
          <w:rStyle w:val="FontStyle20"/>
        </w:rPr>
        <w:t>?)</w:t>
      </w:r>
      <w:r w:rsidR="009E7624" w:rsidRPr="00CA4B04">
        <w:rPr>
          <w:rStyle w:val="FontStyle20"/>
        </w:rPr>
        <w:t>.</w:t>
      </w:r>
      <w:proofErr w:type="gramEnd"/>
    </w:p>
    <w:p w:rsidR="006F0196" w:rsidRPr="00CA4B04" w:rsidRDefault="006F0196" w:rsidP="00B74ED4">
      <w:pPr>
        <w:pStyle w:val="Style4"/>
        <w:spacing w:line="240" w:lineRule="auto"/>
        <w:contextualSpacing/>
        <w:rPr>
          <w:rStyle w:val="FontStyle20"/>
        </w:rPr>
      </w:pPr>
      <w:r w:rsidRPr="00CA4B04">
        <w:rPr>
          <w:rStyle w:val="FontStyle20"/>
        </w:rPr>
        <w:t>Общее количество выданных предписаний об устранении нарушений по результатам всех рассмотренных дел – 200.</w:t>
      </w:r>
    </w:p>
    <w:p w:rsidR="006F0196" w:rsidRPr="00CA4B04" w:rsidRDefault="006F0196" w:rsidP="00B74ED4">
      <w:pPr>
        <w:pStyle w:val="Style4"/>
        <w:spacing w:line="240" w:lineRule="auto"/>
        <w:contextualSpacing/>
        <w:rPr>
          <w:rStyle w:val="FontStyle20"/>
        </w:rPr>
      </w:pPr>
      <w:proofErr w:type="gramStart"/>
      <w:r w:rsidRPr="00CA4B04">
        <w:rPr>
          <w:rStyle w:val="FontStyle20"/>
        </w:rPr>
        <w:t xml:space="preserve">Из общего количества выданных предписаний наибольшее количество выдано в связи с нарушениями законодательства о контрактной системе - 83 (исполнено – 83), по делам, возбужденным в порядке ст. 18.1 </w:t>
      </w:r>
      <w:r w:rsidR="00323245" w:rsidRPr="00CA4B04">
        <w:rPr>
          <w:rStyle w:val="FontStyle20"/>
        </w:rPr>
        <w:t>Закона о защите конкуренции</w:t>
      </w:r>
      <w:r w:rsidRPr="00CA4B04">
        <w:rPr>
          <w:rStyle w:val="FontStyle20"/>
        </w:rPr>
        <w:t xml:space="preserve"> </w:t>
      </w:r>
      <w:r w:rsidR="00323245" w:rsidRPr="00CA4B04">
        <w:rPr>
          <w:rStyle w:val="FontStyle20"/>
        </w:rPr>
        <w:t>–</w:t>
      </w:r>
      <w:r w:rsidRPr="00CA4B04">
        <w:rPr>
          <w:rStyle w:val="FontStyle20"/>
        </w:rPr>
        <w:t xml:space="preserve"> 45 (исполнено – 4</w:t>
      </w:r>
      <w:r w:rsidR="009E7624" w:rsidRPr="00CA4B04">
        <w:rPr>
          <w:rStyle w:val="FontStyle20"/>
        </w:rPr>
        <w:t>4, в стадии исполнения – 1</w:t>
      </w:r>
      <w:r w:rsidRPr="00CA4B04">
        <w:rPr>
          <w:rStyle w:val="FontStyle20"/>
        </w:rPr>
        <w:t>) и по делам о  нарушениях законодательства о рекламе – 59 предписаний (исполнено – 56, в стадии исполнения – 3).</w:t>
      </w:r>
      <w:proofErr w:type="gramEnd"/>
    </w:p>
    <w:p w:rsidR="006F0196" w:rsidRPr="00CA4B04" w:rsidRDefault="006F0196" w:rsidP="00B74ED4">
      <w:pPr>
        <w:pStyle w:val="Style4"/>
        <w:spacing w:line="240" w:lineRule="auto"/>
        <w:contextualSpacing/>
        <w:rPr>
          <w:rStyle w:val="FontStyle20"/>
        </w:rPr>
      </w:pPr>
      <w:proofErr w:type="gramStart"/>
      <w:r w:rsidRPr="00CA4B04">
        <w:rPr>
          <w:rStyle w:val="FontStyle20"/>
        </w:rPr>
        <w:t xml:space="preserve">В целях пресечения действий (бездействия), которые приводят или могут привести к недопущению, ограничению, устранению конкуренции УФАС было выдано </w:t>
      </w:r>
      <w:r w:rsidR="009E7624" w:rsidRPr="00CA4B04">
        <w:rPr>
          <w:rStyle w:val="FontStyle20"/>
        </w:rPr>
        <w:t>36</w:t>
      </w:r>
      <w:r w:rsidRPr="00CA4B04">
        <w:rPr>
          <w:rStyle w:val="FontStyle20"/>
        </w:rPr>
        <w:t xml:space="preserve"> предупреждений, при этом в отчётном периоде было исполнено </w:t>
      </w:r>
      <w:r w:rsidR="009E7624" w:rsidRPr="00CA4B04">
        <w:rPr>
          <w:rStyle w:val="FontStyle20"/>
        </w:rPr>
        <w:t>45</w:t>
      </w:r>
      <w:r w:rsidRPr="00CA4B04">
        <w:rPr>
          <w:rStyle w:val="FontStyle20"/>
        </w:rPr>
        <w:t xml:space="preserve"> предупреждени</w:t>
      </w:r>
      <w:r w:rsidR="00F25DC9" w:rsidRPr="00CA4B04">
        <w:rPr>
          <w:rStyle w:val="FontStyle20"/>
        </w:rPr>
        <w:t>й</w:t>
      </w:r>
      <w:r w:rsidRPr="00CA4B04">
        <w:rPr>
          <w:rStyle w:val="FontStyle20"/>
        </w:rPr>
        <w:t xml:space="preserve"> (с учётом выданных в предыдущем периоде), </w:t>
      </w:r>
      <w:r w:rsidR="009E7624" w:rsidRPr="00CA4B04">
        <w:rPr>
          <w:rStyle w:val="FontStyle20"/>
        </w:rPr>
        <w:t>5</w:t>
      </w:r>
      <w:r w:rsidRPr="00CA4B04">
        <w:rPr>
          <w:rStyle w:val="FontStyle20"/>
        </w:rPr>
        <w:t xml:space="preserve"> предупреждений находятся в стадии исполнения (в том числе выданных в предыдущем периоде), </w:t>
      </w:r>
      <w:r w:rsidR="00AB7469" w:rsidRPr="00CA4B04">
        <w:rPr>
          <w:rStyle w:val="FontStyle20"/>
        </w:rPr>
        <w:t>в связи с неисполнением предупреждений возбуждено 7</w:t>
      </w:r>
      <w:r w:rsidRPr="00CA4B04">
        <w:rPr>
          <w:rStyle w:val="FontStyle20"/>
        </w:rPr>
        <w:t xml:space="preserve"> дел о нарушении антимонопольного законодательства</w:t>
      </w:r>
      <w:proofErr w:type="gramEnd"/>
      <w:r w:rsidRPr="00CA4B04">
        <w:rPr>
          <w:rStyle w:val="FontStyle20"/>
        </w:rPr>
        <w:t>.</w:t>
      </w:r>
      <w:r w:rsidR="00AB7469" w:rsidRPr="00CA4B04">
        <w:rPr>
          <w:rStyle w:val="FontStyle20"/>
        </w:rPr>
        <w:t xml:space="preserve"> Из 4</w:t>
      </w:r>
      <w:r w:rsidR="006F3BBA" w:rsidRPr="00CA4B04">
        <w:rPr>
          <w:rStyle w:val="FontStyle20"/>
        </w:rPr>
        <w:t>-</w:t>
      </w:r>
      <w:r w:rsidR="00AB7469" w:rsidRPr="00CA4B04">
        <w:rPr>
          <w:rStyle w:val="FontStyle20"/>
        </w:rPr>
        <w:t>х обжалованных предупреждений ни одно не было отменено судом.</w:t>
      </w:r>
    </w:p>
    <w:p w:rsidR="006F0196" w:rsidRPr="00CA4B04" w:rsidRDefault="006F0196" w:rsidP="00B74ED4">
      <w:pPr>
        <w:pStyle w:val="Style4"/>
        <w:spacing w:line="240" w:lineRule="auto"/>
        <w:contextualSpacing/>
        <w:rPr>
          <w:rStyle w:val="FontStyle20"/>
        </w:rPr>
      </w:pPr>
      <w:r w:rsidRPr="00CA4B04">
        <w:rPr>
          <w:rStyle w:val="FontStyle20"/>
        </w:rPr>
        <w:t>За 2019 год УФАС возбуждено 541 дело об а</w:t>
      </w:r>
      <w:r w:rsidR="00751ED5" w:rsidRPr="00CA4B04">
        <w:rPr>
          <w:rStyle w:val="FontStyle20"/>
        </w:rPr>
        <w:t>дминистративных правонарушениях, из которых</w:t>
      </w:r>
      <w:r w:rsidRPr="00CA4B04">
        <w:rPr>
          <w:rStyle w:val="FontStyle20"/>
        </w:rPr>
        <w:t xml:space="preserve"> прекращено 15</w:t>
      </w:r>
      <w:r w:rsidR="00AB7469" w:rsidRPr="00CA4B04">
        <w:rPr>
          <w:rStyle w:val="FontStyle20"/>
        </w:rPr>
        <w:t>4</w:t>
      </w:r>
      <w:r w:rsidRPr="00CA4B04">
        <w:rPr>
          <w:rStyle w:val="FontStyle20"/>
        </w:rPr>
        <w:t xml:space="preserve"> дел</w:t>
      </w:r>
      <w:r w:rsidR="00AB7469" w:rsidRPr="00CA4B04">
        <w:rPr>
          <w:rStyle w:val="FontStyle20"/>
        </w:rPr>
        <w:t>а</w:t>
      </w:r>
      <w:r w:rsidRPr="00CA4B04">
        <w:rPr>
          <w:rStyle w:val="FontStyle20"/>
        </w:rPr>
        <w:t>.</w:t>
      </w:r>
    </w:p>
    <w:p w:rsidR="006F0196" w:rsidRPr="00CA4B04" w:rsidRDefault="006F0196" w:rsidP="00B74ED4">
      <w:pPr>
        <w:pStyle w:val="Style4"/>
        <w:spacing w:line="240" w:lineRule="auto"/>
        <w:contextualSpacing/>
        <w:rPr>
          <w:rStyle w:val="FontStyle20"/>
        </w:rPr>
      </w:pPr>
      <w:r w:rsidRPr="00CA4B04">
        <w:rPr>
          <w:rStyle w:val="FontStyle20"/>
        </w:rPr>
        <w:t>Общая сумма наложенных У</w:t>
      </w:r>
      <w:r w:rsidR="007E0443" w:rsidRPr="00CA4B04">
        <w:rPr>
          <w:rStyle w:val="FontStyle20"/>
        </w:rPr>
        <w:t>ФАС</w:t>
      </w:r>
      <w:r w:rsidRPr="00CA4B04">
        <w:rPr>
          <w:rStyle w:val="FontStyle20"/>
        </w:rPr>
        <w:t xml:space="preserve"> штрафов составила 11</w:t>
      </w:r>
      <w:r w:rsidR="00AB7469" w:rsidRPr="00CA4B04">
        <w:rPr>
          <w:rStyle w:val="FontStyle20"/>
        </w:rPr>
        <w:t> 581</w:t>
      </w:r>
      <w:r w:rsidRPr="00CA4B04">
        <w:rPr>
          <w:rStyle w:val="FontStyle20"/>
        </w:rPr>
        <w:t xml:space="preserve"> тыс. рублей.</w:t>
      </w:r>
    </w:p>
    <w:p w:rsidR="00B41B84" w:rsidRPr="00CA4B04" w:rsidRDefault="006F0196" w:rsidP="00B74ED4">
      <w:pPr>
        <w:pStyle w:val="Style4"/>
        <w:widowControl/>
        <w:spacing w:line="240" w:lineRule="auto"/>
        <w:contextualSpacing/>
        <w:rPr>
          <w:rStyle w:val="FontStyle20"/>
        </w:rPr>
      </w:pPr>
      <w:r w:rsidRPr="00CA4B04">
        <w:rPr>
          <w:rStyle w:val="FontStyle20"/>
        </w:rPr>
        <w:t>Из общего количества штрафов, подлежащих взысканию, уплачено 7</w:t>
      </w:r>
      <w:r w:rsidR="00AB7469" w:rsidRPr="00CA4B04">
        <w:rPr>
          <w:rStyle w:val="FontStyle20"/>
        </w:rPr>
        <w:t> 134</w:t>
      </w:r>
      <w:r w:rsidRPr="00CA4B04">
        <w:rPr>
          <w:rStyle w:val="FontStyle20"/>
        </w:rPr>
        <w:t xml:space="preserve"> тыс. рублей (в том числе по штрафам, наложенным в прошлые периоды).</w:t>
      </w:r>
    </w:p>
    <w:p w:rsidR="00D553BE" w:rsidRPr="00CA4B04" w:rsidRDefault="00B41B84" w:rsidP="00805188">
      <w:pPr>
        <w:pStyle w:val="Style4"/>
        <w:widowControl/>
        <w:spacing w:line="240" w:lineRule="auto"/>
        <w:contextualSpacing/>
        <w:rPr>
          <w:rStyle w:val="FontStyle20"/>
        </w:rPr>
      </w:pPr>
      <w:r w:rsidRPr="00CA4B04">
        <w:rPr>
          <w:rStyle w:val="FontStyle20"/>
        </w:rPr>
        <w:t>К административной ответственности привлечено:</w:t>
      </w:r>
      <w:r w:rsidR="00805188" w:rsidRPr="00CA4B04">
        <w:rPr>
          <w:rStyle w:val="FontStyle20"/>
        </w:rPr>
        <w:t xml:space="preserve"> </w:t>
      </w:r>
      <w:r w:rsidR="00AB7469" w:rsidRPr="00CA4B04">
        <w:rPr>
          <w:rStyle w:val="FontStyle20"/>
        </w:rPr>
        <w:t>295</w:t>
      </w:r>
      <w:r w:rsidRPr="00CA4B04">
        <w:rPr>
          <w:rStyle w:val="FontStyle20"/>
        </w:rPr>
        <w:t xml:space="preserve"> должнос</w:t>
      </w:r>
      <w:r w:rsidR="004E41F2" w:rsidRPr="00CA4B04">
        <w:rPr>
          <w:rStyle w:val="FontStyle20"/>
        </w:rPr>
        <w:t>тн</w:t>
      </w:r>
      <w:r w:rsidR="007E0443" w:rsidRPr="00CA4B04">
        <w:rPr>
          <w:rStyle w:val="FontStyle20"/>
        </w:rPr>
        <w:t>ых</w:t>
      </w:r>
      <w:r w:rsidR="004E41F2" w:rsidRPr="00CA4B04">
        <w:rPr>
          <w:rStyle w:val="FontStyle20"/>
        </w:rPr>
        <w:t xml:space="preserve"> лиц (в т.ч. </w:t>
      </w:r>
      <w:r w:rsidR="00805188" w:rsidRPr="00CA4B04">
        <w:rPr>
          <w:rStyle w:val="FontStyle20"/>
        </w:rPr>
        <w:t>ИП</w:t>
      </w:r>
      <w:r w:rsidRPr="00CA4B04">
        <w:rPr>
          <w:rStyle w:val="FontStyle20"/>
        </w:rPr>
        <w:t>);</w:t>
      </w:r>
      <w:r w:rsidR="000A1473" w:rsidRPr="00CA4B04">
        <w:rPr>
          <w:rStyle w:val="FontStyle20"/>
        </w:rPr>
        <w:t xml:space="preserve"> </w:t>
      </w:r>
      <w:r w:rsidR="00AB7469" w:rsidRPr="00CA4B04">
        <w:rPr>
          <w:rStyle w:val="FontStyle20"/>
        </w:rPr>
        <w:t>65</w:t>
      </w:r>
      <w:r w:rsidR="00805C12" w:rsidRPr="00CA4B04">
        <w:rPr>
          <w:rStyle w:val="FontStyle20"/>
        </w:rPr>
        <w:t xml:space="preserve"> юридических лица;</w:t>
      </w:r>
      <w:r w:rsidR="000A1473" w:rsidRPr="00CA4B04">
        <w:rPr>
          <w:rStyle w:val="FontStyle20"/>
        </w:rPr>
        <w:t xml:space="preserve"> </w:t>
      </w:r>
      <w:r w:rsidR="00D553BE" w:rsidRPr="00CA4B04">
        <w:rPr>
          <w:rStyle w:val="FontStyle20"/>
        </w:rPr>
        <w:t>3</w:t>
      </w:r>
      <w:r w:rsidR="00805C12" w:rsidRPr="00CA4B04">
        <w:rPr>
          <w:rStyle w:val="FontStyle20"/>
        </w:rPr>
        <w:t xml:space="preserve"> физическ</w:t>
      </w:r>
      <w:r w:rsidR="00D553BE" w:rsidRPr="00CA4B04">
        <w:rPr>
          <w:rStyle w:val="FontStyle20"/>
        </w:rPr>
        <w:t>их</w:t>
      </w:r>
      <w:r w:rsidR="00805C12" w:rsidRPr="00CA4B04">
        <w:rPr>
          <w:rStyle w:val="FontStyle20"/>
        </w:rPr>
        <w:t xml:space="preserve"> лиц</w:t>
      </w:r>
      <w:r w:rsidR="00D553BE" w:rsidRPr="00CA4B04">
        <w:rPr>
          <w:rStyle w:val="FontStyle20"/>
        </w:rPr>
        <w:t>а</w:t>
      </w:r>
      <w:r w:rsidR="00805C12" w:rsidRPr="00CA4B04">
        <w:rPr>
          <w:rStyle w:val="FontStyle20"/>
        </w:rPr>
        <w:t>.</w:t>
      </w:r>
    </w:p>
    <w:p w:rsidR="00B53FBC" w:rsidRPr="00CA4B04" w:rsidRDefault="00D553BE" w:rsidP="00B74ED4">
      <w:pPr>
        <w:pStyle w:val="Style4"/>
        <w:spacing w:line="240" w:lineRule="auto"/>
        <w:contextualSpacing/>
        <w:rPr>
          <w:rStyle w:val="FontStyle20"/>
        </w:rPr>
      </w:pPr>
      <w:r w:rsidRPr="00CA4B04">
        <w:rPr>
          <w:rStyle w:val="FontStyle20"/>
        </w:rPr>
        <w:t xml:space="preserve">В части </w:t>
      </w:r>
      <w:proofErr w:type="gramStart"/>
      <w:r w:rsidRPr="00CA4B04">
        <w:rPr>
          <w:rStyle w:val="FontStyle20"/>
        </w:rPr>
        <w:t>контроля за</w:t>
      </w:r>
      <w:proofErr w:type="gramEnd"/>
      <w:r w:rsidRPr="00CA4B04">
        <w:rPr>
          <w:rStyle w:val="FontStyle20"/>
        </w:rPr>
        <w:t xml:space="preserve"> соблюдением законодательства о контрактной системе за </w:t>
      </w:r>
      <w:r w:rsidR="009009B7" w:rsidRPr="00CA4B04">
        <w:rPr>
          <w:rStyle w:val="FontStyle20"/>
        </w:rPr>
        <w:t>2019 год</w:t>
      </w:r>
      <w:r w:rsidRPr="00CA4B04">
        <w:rPr>
          <w:rStyle w:val="FontStyle20"/>
        </w:rPr>
        <w:t xml:space="preserve"> УФАС рассмотрено 464 жалобы. </w:t>
      </w:r>
      <w:proofErr w:type="gramStart"/>
      <w:r w:rsidRPr="00CA4B04">
        <w:rPr>
          <w:rStyle w:val="FontStyle20"/>
        </w:rPr>
        <w:t xml:space="preserve">Из них: 379 </w:t>
      </w:r>
      <w:r w:rsidR="009009B7" w:rsidRPr="00CA4B04">
        <w:rPr>
          <w:rStyle w:val="FontStyle20"/>
        </w:rPr>
        <w:t>рассмотрены по существу, 66</w:t>
      </w:r>
      <w:r w:rsidRPr="00CA4B04">
        <w:rPr>
          <w:rStyle w:val="FontStyle20"/>
        </w:rPr>
        <w:t xml:space="preserve"> возвращены, 19 жалоб отозвано.</w:t>
      </w:r>
      <w:proofErr w:type="gramEnd"/>
      <w:r w:rsidRPr="00CA4B04">
        <w:rPr>
          <w:rStyle w:val="FontStyle20"/>
        </w:rPr>
        <w:t xml:space="preserve"> Из </w:t>
      </w:r>
      <w:r w:rsidR="00323245" w:rsidRPr="00CA4B04">
        <w:rPr>
          <w:rStyle w:val="FontStyle20"/>
        </w:rPr>
        <w:t>379</w:t>
      </w:r>
      <w:r w:rsidRPr="00CA4B04">
        <w:rPr>
          <w:rStyle w:val="FontStyle20"/>
        </w:rPr>
        <w:t xml:space="preserve"> жалоб, рассмотренных по существу: 118 </w:t>
      </w:r>
      <w:proofErr w:type="gramStart"/>
      <w:r w:rsidRPr="00CA4B04">
        <w:rPr>
          <w:rStyle w:val="FontStyle20"/>
        </w:rPr>
        <w:t>признаны</w:t>
      </w:r>
      <w:proofErr w:type="gramEnd"/>
      <w:r w:rsidRPr="00CA4B04">
        <w:rPr>
          <w:rStyle w:val="FontStyle20"/>
        </w:rPr>
        <w:t xml:space="preserve"> обоснованными, 261 – необоснованными.</w:t>
      </w:r>
    </w:p>
    <w:p w:rsidR="00B53FBC" w:rsidRPr="00CA4B04" w:rsidRDefault="00B53FBC" w:rsidP="00B74ED4">
      <w:pPr>
        <w:pStyle w:val="Style4"/>
        <w:widowControl/>
        <w:spacing w:line="240" w:lineRule="auto"/>
        <w:contextualSpacing/>
        <w:rPr>
          <w:rStyle w:val="FontStyle20"/>
        </w:rPr>
      </w:pPr>
      <w:r w:rsidRPr="00CA4B04">
        <w:rPr>
          <w:rStyle w:val="FontStyle20"/>
        </w:rPr>
        <w:t xml:space="preserve">В реестр недобросовестных поставщиков включено </w:t>
      </w:r>
      <w:r w:rsidR="00D553BE" w:rsidRPr="00CA4B04">
        <w:rPr>
          <w:rStyle w:val="FontStyle20"/>
        </w:rPr>
        <w:t>85</w:t>
      </w:r>
      <w:r w:rsidRPr="00CA4B04">
        <w:rPr>
          <w:rStyle w:val="FontStyle20"/>
        </w:rPr>
        <w:t xml:space="preserve"> нарушителей.</w:t>
      </w:r>
    </w:p>
    <w:p w:rsidR="00805188" w:rsidRPr="00CA4B04" w:rsidRDefault="00805188" w:rsidP="00B74ED4">
      <w:pPr>
        <w:pStyle w:val="Style4"/>
        <w:widowControl/>
        <w:spacing w:line="240" w:lineRule="auto"/>
        <w:contextualSpacing/>
        <w:rPr>
          <w:rStyle w:val="FontStyle19"/>
        </w:rPr>
      </w:pPr>
    </w:p>
    <w:p w:rsidR="00B41B84" w:rsidRPr="00CA4B04" w:rsidRDefault="00B41B84" w:rsidP="00B74ED4">
      <w:pPr>
        <w:pStyle w:val="Style4"/>
        <w:widowControl/>
        <w:spacing w:line="240" w:lineRule="auto"/>
        <w:contextualSpacing/>
        <w:rPr>
          <w:rStyle w:val="FontStyle19"/>
        </w:rPr>
      </w:pPr>
      <w:r w:rsidRPr="00CA4B04">
        <w:rPr>
          <w:rStyle w:val="FontStyle19"/>
        </w:rPr>
        <w:t>О рассмотрении обращений граждан.</w:t>
      </w:r>
    </w:p>
    <w:p w:rsidR="00B74ED4" w:rsidRPr="00CA4B04" w:rsidRDefault="00B41B84" w:rsidP="00805188">
      <w:pPr>
        <w:pStyle w:val="Style4"/>
        <w:widowControl/>
        <w:spacing w:line="240" w:lineRule="auto"/>
        <w:contextualSpacing/>
        <w:rPr>
          <w:rStyle w:val="FontStyle20"/>
        </w:rPr>
      </w:pPr>
      <w:r w:rsidRPr="00CA4B04">
        <w:rPr>
          <w:rStyle w:val="FontStyle20"/>
        </w:rPr>
        <w:t>За 201</w:t>
      </w:r>
      <w:r w:rsidR="004B2E8A" w:rsidRPr="00CA4B04">
        <w:rPr>
          <w:rStyle w:val="FontStyle20"/>
        </w:rPr>
        <w:t>9</w:t>
      </w:r>
      <w:r w:rsidRPr="00CA4B04">
        <w:rPr>
          <w:rStyle w:val="FontStyle20"/>
        </w:rPr>
        <w:t xml:space="preserve"> год УФАС получено и рассмотрено </w:t>
      </w:r>
      <w:r w:rsidR="00D553BE" w:rsidRPr="00CA4B04">
        <w:rPr>
          <w:rStyle w:val="FontStyle20"/>
        </w:rPr>
        <w:t>1296</w:t>
      </w:r>
      <w:r w:rsidRPr="00CA4B04">
        <w:rPr>
          <w:rStyle w:val="FontStyle20"/>
        </w:rPr>
        <w:t xml:space="preserve"> обращени</w:t>
      </w:r>
      <w:r w:rsidR="00D553BE" w:rsidRPr="00CA4B04">
        <w:rPr>
          <w:rStyle w:val="FontStyle20"/>
        </w:rPr>
        <w:t>й</w:t>
      </w:r>
      <w:r w:rsidRPr="00CA4B04">
        <w:rPr>
          <w:rStyle w:val="FontStyle20"/>
        </w:rPr>
        <w:t xml:space="preserve"> граждан, юридических лиц и индивидуальных предпринимателей.</w:t>
      </w:r>
    </w:p>
    <w:p w:rsidR="00ED4AA2" w:rsidRPr="00CA4B04" w:rsidRDefault="00ED4AA2" w:rsidP="00805188">
      <w:pPr>
        <w:pStyle w:val="Style4"/>
        <w:widowControl/>
        <w:spacing w:line="240" w:lineRule="auto"/>
        <w:contextualSpacing/>
        <w:rPr>
          <w:i/>
        </w:rPr>
      </w:pPr>
    </w:p>
    <w:p w:rsidR="00C6776B" w:rsidRPr="00CA4B04" w:rsidRDefault="00863DD5" w:rsidP="0043516D">
      <w:pPr>
        <w:pStyle w:val="a3"/>
        <w:tabs>
          <w:tab w:val="left" w:pos="0"/>
        </w:tabs>
        <w:ind w:right="20"/>
        <w:contextualSpacing/>
        <w:rPr>
          <w:i/>
          <w:sz w:val="24"/>
        </w:rPr>
      </w:pPr>
      <w:r w:rsidRPr="00CA4B04">
        <w:rPr>
          <w:i/>
          <w:sz w:val="24"/>
        </w:rPr>
        <w:t>Тенденции и п</w:t>
      </w:r>
      <w:r w:rsidR="00C6776B" w:rsidRPr="00CA4B04">
        <w:rPr>
          <w:i/>
          <w:sz w:val="24"/>
        </w:rPr>
        <w:t>римеры наиб</w:t>
      </w:r>
      <w:r w:rsidR="0043516D" w:rsidRPr="00CA4B04">
        <w:rPr>
          <w:i/>
          <w:sz w:val="24"/>
        </w:rPr>
        <w:t>олее важных дел по направлениям</w:t>
      </w:r>
    </w:p>
    <w:p w:rsidR="00ED4AA2" w:rsidRPr="00CA4B04" w:rsidRDefault="00ED4AA2" w:rsidP="0043516D">
      <w:pPr>
        <w:pStyle w:val="a3"/>
        <w:tabs>
          <w:tab w:val="left" w:pos="0"/>
        </w:tabs>
        <w:ind w:right="20"/>
        <w:contextualSpacing/>
        <w:rPr>
          <w:i/>
          <w:color w:val="000000"/>
          <w:sz w:val="24"/>
        </w:rPr>
      </w:pPr>
    </w:p>
    <w:p w:rsidR="00ED4AA2" w:rsidRPr="00CA4B04" w:rsidRDefault="00ED4AA2" w:rsidP="0043516D">
      <w:pPr>
        <w:pStyle w:val="a3"/>
        <w:tabs>
          <w:tab w:val="left" w:pos="0"/>
        </w:tabs>
        <w:ind w:right="20"/>
        <w:contextualSpacing/>
        <w:rPr>
          <w:i/>
          <w:color w:val="000000"/>
          <w:sz w:val="24"/>
        </w:rPr>
      </w:pPr>
    </w:p>
    <w:p w:rsidR="00C6776B" w:rsidRPr="00CA4B04" w:rsidRDefault="00C6776B" w:rsidP="0043516D">
      <w:pPr>
        <w:pStyle w:val="a3"/>
        <w:tabs>
          <w:tab w:val="left" w:pos="0"/>
        </w:tabs>
        <w:ind w:right="20"/>
        <w:contextualSpacing/>
        <w:rPr>
          <w:color w:val="000000"/>
          <w:sz w:val="24"/>
          <w:u w:val="single"/>
        </w:rPr>
      </w:pPr>
      <w:r w:rsidRPr="00CA4B04">
        <w:rPr>
          <w:color w:val="000000"/>
          <w:sz w:val="24"/>
          <w:u w:val="single"/>
        </w:rPr>
        <w:t>Контрол</w:t>
      </w:r>
      <w:r w:rsidR="0043516D" w:rsidRPr="00CA4B04">
        <w:rPr>
          <w:color w:val="000000"/>
          <w:sz w:val="24"/>
          <w:u w:val="single"/>
        </w:rPr>
        <w:t>ь монополистической деятельности</w:t>
      </w:r>
    </w:p>
    <w:p w:rsidR="00ED4AA2" w:rsidRPr="00CA4B04" w:rsidRDefault="00ED4AA2" w:rsidP="0043516D">
      <w:pPr>
        <w:pStyle w:val="a3"/>
        <w:tabs>
          <w:tab w:val="left" w:pos="0"/>
        </w:tabs>
        <w:ind w:right="20"/>
        <w:contextualSpacing/>
        <w:rPr>
          <w:i/>
          <w:color w:val="000000"/>
          <w:sz w:val="24"/>
          <w:u w:val="single"/>
        </w:rPr>
      </w:pPr>
    </w:p>
    <w:p w:rsidR="00E817FD" w:rsidRPr="00CA4B04" w:rsidRDefault="00E817FD" w:rsidP="00B74ED4">
      <w:pPr>
        <w:ind w:firstLine="706"/>
        <w:contextualSpacing/>
        <w:jc w:val="both"/>
        <w:rPr>
          <w:rFonts w:eastAsiaTheme="minorHAnsi"/>
          <w:sz w:val="24"/>
          <w:lang w:eastAsia="en-US"/>
        </w:rPr>
      </w:pPr>
      <w:r w:rsidRPr="00CA4B04">
        <w:rPr>
          <w:rFonts w:eastAsiaTheme="minorHAnsi"/>
          <w:sz w:val="24"/>
          <w:lang w:eastAsia="en-US"/>
        </w:rPr>
        <w:lastRenderedPageBreak/>
        <w:t xml:space="preserve">1. </w:t>
      </w:r>
      <w:r w:rsidR="00C87304" w:rsidRPr="00CA4B04">
        <w:rPr>
          <w:rFonts w:eastAsiaTheme="minorHAnsi"/>
          <w:sz w:val="24"/>
          <w:lang w:eastAsia="en-US"/>
        </w:rPr>
        <w:t xml:space="preserve">Злоупотребления </w:t>
      </w:r>
      <w:r w:rsidRPr="00CA4B04">
        <w:rPr>
          <w:rFonts w:eastAsiaTheme="minorHAnsi"/>
          <w:sz w:val="24"/>
          <w:lang w:eastAsia="en-US"/>
        </w:rPr>
        <w:t xml:space="preserve">АО «Волгоградгоргаз» </w:t>
      </w:r>
      <w:proofErr w:type="gramStart"/>
      <w:r w:rsidRPr="00CA4B04">
        <w:rPr>
          <w:rFonts w:eastAsiaTheme="minorHAnsi"/>
          <w:sz w:val="24"/>
          <w:lang w:eastAsia="en-US"/>
        </w:rPr>
        <w:t>и ООО</w:t>
      </w:r>
      <w:proofErr w:type="gramEnd"/>
      <w:r w:rsidRPr="00CA4B04">
        <w:rPr>
          <w:rFonts w:eastAsiaTheme="minorHAnsi"/>
          <w:sz w:val="24"/>
          <w:lang w:eastAsia="en-US"/>
        </w:rPr>
        <w:t xml:space="preserve"> «Газпром газораспределение Волгоград» доминирующим положением на товарном рынке (нарушение ч. 1 ст. 10 Закона о защите конкуренции). </w:t>
      </w:r>
      <w:proofErr w:type="gramStart"/>
      <w:r w:rsidRPr="00CA4B04">
        <w:rPr>
          <w:rFonts w:eastAsiaTheme="minorHAnsi"/>
          <w:sz w:val="24"/>
          <w:lang w:eastAsia="en-US"/>
        </w:rPr>
        <w:t>Нарушение выразилось в установлении гарантийного срока на услуги ТО ВКГО для физических лиц на территории Волгоградской области, ущемляющего интересы неопределённого круга лиц: при периодичности проведения работ один раз в год гарантийный срок в 6 месяцев (АО «Волгоградгоргаз») и 2 месяца (ООО «Газпром газораспределение Волгоград») является необоснованно коротким, а после его истечения на потребителя будет возложена дополнительная обязанность по оплате услуг</w:t>
      </w:r>
      <w:proofErr w:type="gramEnd"/>
      <w:r w:rsidRPr="00CA4B04">
        <w:rPr>
          <w:rFonts w:eastAsiaTheme="minorHAnsi"/>
          <w:sz w:val="24"/>
          <w:lang w:eastAsia="en-US"/>
        </w:rPr>
        <w:t xml:space="preserve">, </w:t>
      </w:r>
      <w:proofErr w:type="gramStart"/>
      <w:r w:rsidRPr="00CA4B04">
        <w:rPr>
          <w:rFonts w:eastAsiaTheme="minorHAnsi"/>
          <w:sz w:val="24"/>
          <w:lang w:eastAsia="en-US"/>
        </w:rPr>
        <w:t>которая</w:t>
      </w:r>
      <w:proofErr w:type="gramEnd"/>
      <w:r w:rsidRPr="00CA4B04">
        <w:rPr>
          <w:rFonts w:eastAsiaTheme="minorHAnsi"/>
          <w:sz w:val="24"/>
          <w:lang w:eastAsia="en-US"/>
        </w:rPr>
        <w:t xml:space="preserve"> не зависит от качества ранее оказанных услуг.</w:t>
      </w:r>
    </w:p>
    <w:p w:rsidR="00E817FD" w:rsidRPr="00CA4B04" w:rsidRDefault="00E817FD" w:rsidP="00B74ED4">
      <w:pPr>
        <w:ind w:firstLine="706"/>
        <w:contextualSpacing/>
        <w:jc w:val="both"/>
        <w:rPr>
          <w:rFonts w:eastAsiaTheme="minorHAnsi"/>
          <w:sz w:val="24"/>
          <w:lang w:eastAsia="en-US"/>
        </w:rPr>
      </w:pPr>
      <w:r w:rsidRPr="00CA4B04">
        <w:rPr>
          <w:rFonts w:eastAsiaTheme="minorHAnsi"/>
          <w:sz w:val="24"/>
          <w:lang w:eastAsia="en-US"/>
        </w:rPr>
        <w:t xml:space="preserve">2. </w:t>
      </w:r>
      <w:r w:rsidR="004A5827" w:rsidRPr="00CA4B04">
        <w:rPr>
          <w:rFonts w:eastAsiaTheme="minorHAnsi"/>
          <w:sz w:val="24"/>
          <w:lang w:eastAsia="en-US"/>
        </w:rPr>
        <w:t>Нарушение</w:t>
      </w:r>
      <w:r w:rsidRPr="00CA4B04">
        <w:rPr>
          <w:rFonts w:eastAsiaTheme="minorHAnsi"/>
          <w:sz w:val="24"/>
          <w:lang w:eastAsia="en-US"/>
        </w:rPr>
        <w:t xml:space="preserve"> МБУ «Северное», ООО «</w:t>
      </w:r>
      <w:proofErr w:type="spellStart"/>
      <w:r w:rsidRPr="00CA4B04">
        <w:rPr>
          <w:rFonts w:eastAsiaTheme="minorHAnsi"/>
          <w:sz w:val="24"/>
          <w:lang w:eastAsia="en-US"/>
        </w:rPr>
        <w:t>АльянсСтройКом</w:t>
      </w:r>
      <w:proofErr w:type="spellEnd"/>
      <w:r w:rsidRPr="00CA4B04">
        <w:rPr>
          <w:rFonts w:eastAsiaTheme="minorHAnsi"/>
          <w:sz w:val="24"/>
          <w:lang w:eastAsia="en-US"/>
        </w:rPr>
        <w:t xml:space="preserve">», ЗАО «РСУ ТЗР» ст. 16 Закона о защите конкуренции. </w:t>
      </w:r>
    </w:p>
    <w:p w:rsidR="00E817FD" w:rsidRPr="00CA4B04" w:rsidRDefault="00E817FD" w:rsidP="00B74ED4">
      <w:pPr>
        <w:ind w:firstLine="706"/>
        <w:contextualSpacing/>
        <w:jc w:val="both"/>
        <w:rPr>
          <w:rFonts w:eastAsiaTheme="minorHAnsi"/>
          <w:sz w:val="24"/>
          <w:lang w:eastAsia="en-US"/>
        </w:rPr>
      </w:pPr>
      <w:r w:rsidRPr="00CA4B04">
        <w:rPr>
          <w:rFonts w:eastAsiaTheme="minorHAnsi"/>
          <w:sz w:val="24"/>
          <w:lang w:eastAsia="en-US"/>
        </w:rPr>
        <w:t>МБУ «Северное» в целях ухода от проведения конкурентных процедур заключило с ООО «</w:t>
      </w:r>
      <w:proofErr w:type="spellStart"/>
      <w:r w:rsidRPr="00CA4B04">
        <w:rPr>
          <w:rFonts w:eastAsiaTheme="minorHAnsi"/>
          <w:sz w:val="24"/>
          <w:lang w:eastAsia="en-US"/>
        </w:rPr>
        <w:t>АльянсСтройКом</w:t>
      </w:r>
      <w:proofErr w:type="spellEnd"/>
      <w:r w:rsidRPr="00CA4B04">
        <w:rPr>
          <w:rFonts w:eastAsiaTheme="minorHAnsi"/>
          <w:sz w:val="24"/>
          <w:lang w:eastAsia="en-US"/>
        </w:rPr>
        <w:t xml:space="preserve">» и ЗАО «РСУ ТЗР» как с единственными исполнителями муниципальные контракты на ремонт дорог местного значения стоимостью более 95 млн. рублей. В результате реализации </w:t>
      </w:r>
      <w:proofErr w:type="spellStart"/>
      <w:r w:rsidRPr="00CA4B04">
        <w:rPr>
          <w:rFonts w:eastAsiaTheme="minorHAnsi"/>
          <w:sz w:val="24"/>
          <w:lang w:eastAsia="en-US"/>
        </w:rPr>
        <w:t>антиконкурентного</w:t>
      </w:r>
      <w:proofErr w:type="spellEnd"/>
      <w:r w:rsidRPr="00CA4B04">
        <w:rPr>
          <w:rFonts w:eastAsiaTheme="minorHAnsi"/>
          <w:sz w:val="24"/>
          <w:lang w:eastAsia="en-US"/>
        </w:rPr>
        <w:t xml:space="preserve"> соглашения указанные юридические лица получили доступ к выполнению работ по максимальной возможной цене, минуя участие в конкурентных процедурах, без подачи предложений о снижении цены контракта, в </w:t>
      </w:r>
      <w:proofErr w:type="gramStart"/>
      <w:r w:rsidRPr="00CA4B04">
        <w:rPr>
          <w:rFonts w:eastAsiaTheme="minorHAnsi"/>
          <w:sz w:val="24"/>
          <w:lang w:eastAsia="en-US"/>
        </w:rPr>
        <w:t>связи</w:t>
      </w:r>
      <w:proofErr w:type="gramEnd"/>
      <w:r w:rsidRPr="00CA4B04">
        <w:rPr>
          <w:rFonts w:eastAsiaTheme="minorHAnsi"/>
          <w:sz w:val="24"/>
          <w:lang w:eastAsia="en-US"/>
        </w:rPr>
        <w:t xml:space="preserve"> с чем были поставлены в преимущественное </w:t>
      </w:r>
      <w:r w:rsidR="004A5827" w:rsidRPr="00CA4B04">
        <w:rPr>
          <w:rFonts w:eastAsiaTheme="minorHAnsi"/>
          <w:sz w:val="24"/>
          <w:lang w:eastAsia="en-US"/>
        </w:rPr>
        <w:t xml:space="preserve">положение </w:t>
      </w:r>
      <w:r w:rsidRPr="00CA4B04">
        <w:rPr>
          <w:rFonts w:eastAsiaTheme="minorHAnsi"/>
          <w:sz w:val="24"/>
          <w:lang w:eastAsia="en-US"/>
        </w:rPr>
        <w:t>по сравнению с иными хозяйствующими субъектами, выполняющими аналогичный вид деятельности на соответствующем рынке работ.</w:t>
      </w:r>
    </w:p>
    <w:p w:rsidR="00E817FD" w:rsidRPr="00CA4B04" w:rsidRDefault="00E817FD" w:rsidP="00B74ED4">
      <w:pPr>
        <w:ind w:firstLine="706"/>
        <w:contextualSpacing/>
        <w:jc w:val="both"/>
        <w:rPr>
          <w:rFonts w:eastAsiaTheme="minorHAnsi"/>
          <w:sz w:val="24"/>
          <w:lang w:eastAsia="en-US"/>
        </w:rPr>
      </w:pPr>
      <w:r w:rsidRPr="00CA4B04">
        <w:rPr>
          <w:rFonts w:eastAsiaTheme="minorHAnsi"/>
          <w:sz w:val="24"/>
          <w:lang w:eastAsia="en-US"/>
        </w:rPr>
        <w:t>В рамках дела один из участников соглашения (М</w:t>
      </w:r>
      <w:r w:rsidR="00C103AE" w:rsidRPr="00CA4B04">
        <w:rPr>
          <w:rFonts w:eastAsiaTheme="minorHAnsi"/>
          <w:sz w:val="24"/>
          <w:lang w:eastAsia="en-US"/>
        </w:rPr>
        <w:t>БУ «Северное») воспользовался</w:t>
      </w:r>
      <w:r w:rsidRPr="00CA4B04">
        <w:rPr>
          <w:rFonts w:eastAsiaTheme="minorHAnsi"/>
          <w:sz w:val="24"/>
          <w:lang w:eastAsia="en-US"/>
        </w:rPr>
        <w:t xml:space="preserve"> </w:t>
      </w:r>
      <w:r w:rsidR="004A5827" w:rsidRPr="00CA4B04">
        <w:rPr>
          <w:rFonts w:eastAsiaTheme="minorHAnsi"/>
          <w:sz w:val="24"/>
          <w:lang w:eastAsia="en-US"/>
        </w:rPr>
        <w:t>примечанием</w:t>
      </w:r>
      <w:r w:rsidRPr="00CA4B04">
        <w:rPr>
          <w:rFonts w:eastAsiaTheme="minorHAnsi"/>
          <w:sz w:val="24"/>
          <w:lang w:eastAsia="en-US"/>
        </w:rPr>
        <w:t xml:space="preserve"> к ст. 14.32 КоАП, добровольно заявив о нарушении антимонопольного законодательства, что позволит </w:t>
      </w:r>
      <w:r w:rsidR="00C103AE" w:rsidRPr="00CA4B04">
        <w:rPr>
          <w:rFonts w:eastAsiaTheme="minorHAnsi"/>
          <w:sz w:val="24"/>
          <w:lang w:eastAsia="en-US"/>
        </w:rPr>
        <w:t>ему</w:t>
      </w:r>
      <w:r w:rsidRPr="00CA4B04">
        <w:rPr>
          <w:rFonts w:eastAsiaTheme="minorHAnsi"/>
          <w:sz w:val="24"/>
          <w:lang w:eastAsia="en-US"/>
        </w:rPr>
        <w:t xml:space="preserve"> легально избежать привлечения к административной ответственности.</w:t>
      </w:r>
    </w:p>
    <w:p w:rsidR="00E817FD" w:rsidRPr="00CA4B04" w:rsidRDefault="00E817FD" w:rsidP="00B74ED4">
      <w:pPr>
        <w:ind w:firstLine="706"/>
        <w:contextualSpacing/>
        <w:jc w:val="both"/>
        <w:rPr>
          <w:rFonts w:eastAsiaTheme="minorHAnsi"/>
          <w:sz w:val="24"/>
          <w:lang w:eastAsia="en-US"/>
        </w:rPr>
      </w:pPr>
      <w:r w:rsidRPr="00CA4B04">
        <w:rPr>
          <w:rFonts w:eastAsiaTheme="minorHAnsi"/>
          <w:sz w:val="24"/>
          <w:lang w:eastAsia="en-US"/>
        </w:rPr>
        <w:t xml:space="preserve">3. Сформирована новая практика привлечения ООО «Газпром газораспределение Волгоград» к административной ответственности по </w:t>
      </w:r>
      <w:proofErr w:type="gramStart"/>
      <w:r w:rsidRPr="00CA4B04">
        <w:rPr>
          <w:rFonts w:eastAsiaTheme="minorHAnsi"/>
          <w:sz w:val="24"/>
          <w:lang w:eastAsia="en-US"/>
        </w:rPr>
        <w:t>ч</w:t>
      </w:r>
      <w:proofErr w:type="gramEnd"/>
      <w:r w:rsidRPr="00CA4B04">
        <w:rPr>
          <w:rFonts w:eastAsiaTheme="minorHAnsi"/>
          <w:sz w:val="24"/>
          <w:lang w:eastAsia="en-US"/>
        </w:rPr>
        <w:t>. 1 ст. 9.21 КоАП за неправомерное завышение платы за подключение объекта капитального строительства к сети газораспределения.</w:t>
      </w:r>
    </w:p>
    <w:p w:rsidR="00E817FD" w:rsidRPr="00CA4B04" w:rsidRDefault="00E817FD" w:rsidP="00B74ED4">
      <w:pPr>
        <w:ind w:firstLine="706"/>
        <w:contextualSpacing/>
        <w:jc w:val="both"/>
        <w:rPr>
          <w:rFonts w:eastAsiaTheme="minorHAnsi"/>
          <w:sz w:val="24"/>
          <w:lang w:eastAsia="en-US"/>
        </w:rPr>
      </w:pPr>
      <w:r w:rsidRPr="00CA4B04">
        <w:rPr>
          <w:rFonts w:eastAsiaTheme="minorHAnsi"/>
          <w:sz w:val="24"/>
          <w:lang w:eastAsia="en-US"/>
        </w:rPr>
        <w:t xml:space="preserve">Стоимость работ по договору с гражданином неправомерно определена по индивидуальному тарифу, а не по стандартизированным ставкам (плата возросла в десятки раз и составила более 5,5 млн. руб.), поскольку газораспределительная организация расценила в качестве водной преграды надземный напорный </w:t>
      </w:r>
      <w:r w:rsidR="00935F92" w:rsidRPr="00CA4B04">
        <w:rPr>
          <w:rFonts w:eastAsiaTheme="minorHAnsi"/>
          <w:sz w:val="24"/>
          <w:lang w:eastAsia="en-US"/>
        </w:rPr>
        <w:t>водопровод оросительной системы</w:t>
      </w:r>
      <w:r w:rsidRPr="00CA4B04">
        <w:rPr>
          <w:rFonts w:eastAsiaTheme="minorHAnsi"/>
          <w:sz w:val="24"/>
          <w:lang w:eastAsia="en-US"/>
        </w:rPr>
        <w:t>.</w:t>
      </w:r>
    </w:p>
    <w:p w:rsidR="00E817FD" w:rsidRPr="00CA4B04" w:rsidRDefault="00EA2609" w:rsidP="00B74ED4">
      <w:pPr>
        <w:ind w:firstLine="706"/>
        <w:contextualSpacing/>
        <w:jc w:val="both"/>
        <w:rPr>
          <w:rFonts w:eastAsiaTheme="minorHAnsi"/>
          <w:sz w:val="24"/>
          <w:lang w:eastAsia="en-US"/>
        </w:rPr>
      </w:pPr>
      <w:r w:rsidRPr="00CA4B04">
        <w:rPr>
          <w:rFonts w:eastAsiaTheme="minorHAnsi"/>
          <w:sz w:val="24"/>
          <w:lang w:eastAsia="en-US"/>
        </w:rPr>
        <w:t xml:space="preserve">Антимонопольным органом </w:t>
      </w:r>
      <w:r w:rsidR="00E817FD" w:rsidRPr="00CA4B04">
        <w:rPr>
          <w:rFonts w:eastAsiaTheme="minorHAnsi"/>
          <w:sz w:val="24"/>
          <w:lang w:eastAsia="en-US"/>
        </w:rPr>
        <w:t>с учётом истребованной п</w:t>
      </w:r>
      <w:r w:rsidRPr="00CA4B04">
        <w:rPr>
          <w:rFonts w:eastAsiaTheme="minorHAnsi"/>
          <w:sz w:val="24"/>
          <w:lang w:eastAsia="en-US"/>
        </w:rPr>
        <w:t>равовой позиции Минстроя России</w:t>
      </w:r>
      <w:r w:rsidR="00E817FD" w:rsidRPr="00CA4B04">
        <w:rPr>
          <w:rFonts w:eastAsiaTheme="minorHAnsi"/>
          <w:sz w:val="24"/>
          <w:lang w:eastAsia="en-US"/>
        </w:rPr>
        <w:t xml:space="preserve"> сделан вывод о том, что водопровод оросительной системы, через который необходимо осуществить подключение, не относится к водной преграде. </w:t>
      </w:r>
      <w:proofErr w:type="gramStart"/>
      <w:r w:rsidR="00E817FD" w:rsidRPr="00CA4B04">
        <w:rPr>
          <w:rFonts w:eastAsiaTheme="minorHAnsi"/>
          <w:sz w:val="24"/>
          <w:lang w:eastAsia="en-US"/>
        </w:rPr>
        <w:t>К</w:t>
      </w:r>
      <w:proofErr w:type="gramEnd"/>
      <w:r w:rsidR="00E817FD" w:rsidRPr="00CA4B04">
        <w:rPr>
          <w:rFonts w:eastAsiaTheme="minorHAnsi"/>
          <w:sz w:val="24"/>
          <w:lang w:eastAsia="en-US"/>
        </w:rPr>
        <w:t xml:space="preserve"> последним надлежит относить естественные или искусственные водные препятствия, характеризующ</w:t>
      </w:r>
      <w:r w:rsidRPr="00CA4B04">
        <w:rPr>
          <w:rFonts w:eastAsiaTheme="minorHAnsi"/>
          <w:sz w:val="24"/>
          <w:lang w:eastAsia="en-US"/>
        </w:rPr>
        <w:t>и</w:t>
      </w:r>
      <w:r w:rsidR="00E817FD" w:rsidRPr="00CA4B04">
        <w:rPr>
          <w:rFonts w:eastAsiaTheme="minorHAnsi"/>
          <w:sz w:val="24"/>
          <w:lang w:eastAsia="en-US"/>
        </w:rPr>
        <w:t>еся такими параметрами, как ширина, глубина, скорость течения воды, характер дна.</w:t>
      </w:r>
    </w:p>
    <w:p w:rsidR="00E817FD" w:rsidRPr="00CA4B04" w:rsidRDefault="00935F92" w:rsidP="00B74ED4">
      <w:pPr>
        <w:ind w:firstLine="706"/>
        <w:contextualSpacing/>
        <w:jc w:val="both"/>
        <w:rPr>
          <w:rFonts w:eastAsiaTheme="minorHAnsi"/>
          <w:sz w:val="24"/>
          <w:lang w:eastAsia="en-US"/>
        </w:rPr>
      </w:pPr>
      <w:r w:rsidRPr="00CA4B04">
        <w:rPr>
          <w:rFonts w:eastAsiaTheme="minorHAnsi"/>
          <w:sz w:val="24"/>
          <w:lang w:eastAsia="en-US"/>
        </w:rPr>
        <w:t>Н</w:t>
      </w:r>
      <w:proofErr w:type="gramStart"/>
      <w:r w:rsidRPr="00CA4B04">
        <w:rPr>
          <w:rFonts w:eastAsiaTheme="minorHAnsi"/>
          <w:sz w:val="24"/>
          <w:lang w:eastAsia="en-US"/>
        </w:rPr>
        <w:t>а</w:t>
      </w:r>
      <w:r w:rsidR="00E817FD" w:rsidRPr="00CA4B04">
        <w:rPr>
          <w:rFonts w:eastAsiaTheme="minorHAnsi"/>
          <w:sz w:val="24"/>
          <w:lang w:eastAsia="en-US"/>
        </w:rPr>
        <w:t xml:space="preserve"> ООО</w:t>
      </w:r>
      <w:proofErr w:type="gramEnd"/>
      <w:r w:rsidR="00E817FD" w:rsidRPr="00CA4B04">
        <w:rPr>
          <w:rFonts w:eastAsiaTheme="minorHAnsi"/>
          <w:sz w:val="24"/>
          <w:lang w:eastAsia="en-US"/>
        </w:rPr>
        <w:t xml:space="preserve"> «Газпром газораспределение Волгоград» </w:t>
      </w:r>
      <w:r w:rsidRPr="00CA4B04">
        <w:rPr>
          <w:rFonts w:eastAsiaTheme="minorHAnsi"/>
          <w:sz w:val="24"/>
          <w:lang w:eastAsia="en-US"/>
        </w:rPr>
        <w:t>наложен</w:t>
      </w:r>
      <w:r w:rsidR="00E817FD" w:rsidRPr="00CA4B04">
        <w:rPr>
          <w:rFonts w:eastAsiaTheme="minorHAnsi"/>
          <w:sz w:val="24"/>
          <w:lang w:eastAsia="en-US"/>
        </w:rPr>
        <w:t xml:space="preserve"> штраф 50 </w:t>
      </w:r>
      <w:r w:rsidRPr="00CA4B04">
        <w:rPr>
          <w:rFonts w:eastAsiaTheme="minorHAnsi"/>
          <w:sz w:val="24"/>
          <w:lang w:eastAsia="en-US"/>
        </w:rPr>
        <w:t>тыс.</w:t>
      </w:r>
      <w:r w:rsidR="00E817FD" w:rsidRPr="00CA4B04">
        <w:rPr>
          <w:rFonts w:eastAsiaTheme="minorHAnsi"/>
          <w:sz w:val="24"/>
          <w:lang w:eastAsia="en-US"/>
        </w:rPr>
        <w:t xml:space="preserve"> руб. Постановление вступило в законную силу, штраф оплачен.</w:t>
      </w:r>
    </w:p>
    <w:p w:rsidR="00ED4AA2" w:rsidRPr="00CA4B04" w:rsidRDefault="00ED4AA2" w:rsidP="00B74ED4">
      <w:pPr>
        <w:ind w:firstLine="706"/>
        <w:contextualSpacing/>
        <w:jc w:val="both"/>
        <w:rPr>
          <w:rFonts w:eastAsiaTheme="minorHAnsi"/>
          <w:b/>
          <w:sz w:val="24"/>
          <w:lang w:eastAsia="en-US"/>
        </w:rPr>
      </w:pPr>
    </w:p>
    <w:p w:rsidR="00ED4AA2" w:rsidRPr="00CA4B04" w:rsidRDefault="00ED4AA2" w:rsidP="00ED4AA2">
      <w:pPr>
        <w:jc w:val="center"/>
        <w:rPr>
          <w:b/>
          <w:sz w:val="24"/>
          <w:u w:val="single"/>
        </w:rPr>
      </w:pPr>
      <w:r w:rsidRPr="00CA4B04">
        <w:rPr>
          <w:b/>
          <w:sz w:val="24"/>
          <w:u w:val="single"/>
        </w:rPr>
        <w:t>Контроль торговли</w:t>
      </w:r>
    </w:p>
    <w:p w:rsidR="00ED4AA2" w:rsidRPr="00CA4B04" w:rsidRDefault="00ED4AA2" w:rsidP="00ED4AA2">
      <w:pPr>
        <w:ind w:firstLine="567"/>
        <w:jc w:val="both"/>
        <w:rPr>
          <w:sz w:val="24"/>
        </w:rPr>
      </w:pPr>
      <w:r w:rsidRPr="00CA4B04">
        <w:rPr>
          <w:sz w:val="24"/>
        </w:rPr>
        <w:t>В 2019 году не вправе приобретать или арендовать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b/>
          <w:sz w:val="24"/>
        </w:rPr>
        <w:t>АО «</w:t>
      </w:r>
      <w:proofErr w:type="spellStart"/>
      <w:r w:rsidRPr="00CA4B04">
        <w:rPr>
          <w:rFonts w:eastAsia="Calibri"/>
          <w:b/>
          <w:sz w:val="24"/>
        </w:rPr>
        <w:t>Тандер</w:t>
      </w:r>
      <w:proofErr w:type="spellEnd"/>
      <w:r w:rsidRPr="00CA4B04">
        <w:rPr>
          <w:rFonts w:eastAsia="Calibri"/>
          <w:b/>
          <w:sz w:val="24"/>
        </w:rPr>
        <w:t>»</w:t>
      </w:r>
      <w:r w:rsidRPr="00CA4B04">
        <w:rPr>
          <w:rFonts w:eastAsia="Calibri"/>
          <w:sz w:val="24"/>
        </w:rPr>
        <w:t xml:space="preserve"> </w:t>
      </w:r>
      <w:r w:rsidRPr="00CA4B04">
        <w:rPr>
          <w:rFonts w:eastAsia="Calibri"/>
          <w:color w:val="000000"/>
          <w:sz w:val="24"/>
        </w:rPr>
        <w:t>в границах:</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t xml:space="preserve">- городского округа г. </w:t>
      </w:r>
      <w:proofErr w:type="gramStart"/>
      <w:r w:rsidRPr="00CA4B04">
        <w:rPr>
          <w:rFonts w:eastAsia="Calibri"/>
          <w:color w:val="000000"/>
          <w:sz w:val="24"/>
        </w:rPr>
        <w:t>Волжский</w:t>
      </w:r>
      <w:proofErr w:type="gramEnd"/>
      <w:r w:rsidRPr="00CA4B04">
        <w:rPr>
          <w:rFonts w:eastAsia="Calibri"/>
          <w:color w:val="000000"/>
          <w:sz w:val="24"/>
        </w:rPr>
        <w:t>;</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t>- </w:t>
      </w:r>
      <w:r w:rsidRPr="00CA4B04">
        <w:rPr>
          <w:rFonts w:eastAsia="Calibri"/>
          <w:sz w:val="24"/>
        </w:rPr>
        <w:t>городского округа</w:t>
      </w:r>
      <w:r w:rsidRPr="00CA4B04">
        <w:rPr>
          <w:rFonts w:eastAsia="Calibri"/>
          <w:color w:val="000000"/>
          <w:sz w:val="24"/>
        </w:rPr>
        <w:t xml:space="preserve"> </w:t>
      </w:r>
      <w:proofErr w:type="gramStart"/>
      <w:r w:rsidRPr="00CA4B04">
        <w:rPr>
          <w:rFonts w:eastAsia="Calibri"/>
          <w:sz w:val="24"/>
        </w:rPr>
        <w:t>г</w:t>
      </w:r>
      <w:proofErr w:type="gramEnd"/>
      <w:r w:rsidRPr="00CA4B04">
        <w:rPr>
          <w:rFonts w:eastAsia="Calibri"/>
          <w:sz w:val="24"/>
        </w:rPr>
        <w:t>. Камышин;</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t>- </w:t>
      </w:r>
      <w:r w:rsidRPr="00CA4B04">
        <w:rPr>
          <w:rFonts w:eastAsia="Calibri"/>
          <w:sz w:val="24"/>
        </w:rPr>
        <w:t>городского округа</w:t>
      </w:r>
      <w:r w:rsidRPr="00CA4B04">
        <w:rPr>
          <w:rFonts w:eastAsia="Calibri"/>
          <w:color w:val="000000"/>
          <w:sz w:val="24"/>
        </w:rPr>
        <w:t xml:space="preserve"> </w:t>
      </w:r>
      <w:proofErr w:type="gramStart"/>
      <w:r w:rsidRPr="00CA4B04">
        <w:rPr>
          <w:rFonts w:eastAsia="Calibri"/>
          <w:color w:val="000000"/>
          <w:sz w:val="24"/>
        </w:rPr>
        <w:t>г</w:t>
      </w:r>
      <w:proofErr w:type="gramEnd"/>
      <w:r w:rsidRPr="00CA4B04">
        <w:rPr>
          <w:rFonts w:eastAsia="Calibri"/>
          <w:color w:val="000000"/>
          <w:sz w:val="24"/>
        </w:rPr>
        <w:t>. Михайловка;</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t>- </w:t>
      </w:r>
      <w:r w:rsidRPr="00CA4B04">
        <w:rPr>
          <w:rFonts w:eastAsia="Calibri"/>
          <w:sz w:val="24"/>
        </w:rPr>
        <w:t xml:space="preserve">городского округа </w:t>
      </w:r>
      <w:proofErr w:type="gramStart"/>
      <w:r w:rsidRPr="00CA4B04">
        <w:rPr>
          <w:rFonts w:eastAsia="Calibri"/>
          <w:sz w:val="24"/>
        </w:rPr>
        <w:t>г</w:t>
      </w:r>
      <w:proofErr w:type="gramEnd"/>
      <w:r w:rsidRPr="00CA4B04">
        <w:rPr>
          <w:rFonts w:eastAsia="Calibri"/>
          <w:sz w:val="24"/>
        </w:rPr>
        <w:t>. Урюпинск;</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lastRenderedPageBreak/>
        <w:t>- </w:t>
      </w:r>
      <w:r w:rsidRPr="00CA4B04">
        <w:rPr>
          <w:rFonts w:eastAsia="Calibri"/>
          <w:sz w:val="24"/>
        </w:rPr>
        <w:t>Алексеевского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sz w:val="24"/>
        </w:rPr>
        <w:t>- Еланского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sz w:val="24"/>
        </w:rPr>
        <w:t>- </w:t>
      </w:r>
      <w:proofErr w:type="spellStart"/>
      <w:r w:rsidRPr="00CA4B04">
        <w:rPr>
          <w:rFonts w:eastAsia="Calibri"/>
          <w:sz w:val="24"/>
        </w:rPr>
        <w:t>Жирновского</w:t>
      </w:r>
      <w:proofErr w:type="spellEnd"/>
      <w:r w:rsidRPr="00CA4B04">
        <w:rPr>
          <w:rFonts w:eastAsia="Calibri"/>
          <w:sz w:val="24"/>
        </w:rPr>
        <w:t xml:space="preserve"> </w:t>
      </w:r>
      <w:r w:rsidRPr="00CA4B04">
        <w:rPr>
          <w:rFonts w:eastAsia="Calibri"/>
          <w:color w:val="000000"/>
          <w:sz w:val="24"/>
        </w:rPr>
        <w:t>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t>- </w:t>
      </w:r>
      <w:proofErr w:type="spellStart"/>
      <w:r w:rsidRPr="00CA4B04">
        <w:rPr>
          <w:rFonts w:eastAsia="Calibri"/>
          <w:color w:val="000000"/>
          <w:sz w:val="24"/>
        </w:rPr>
        <w:t>Камышинского</w:t>
      </w:r>
      <w:proofErr w:type="spellEnd"/>
      <w:r w:rsidRPr="00CA4B04">
        <w:rPr>
          <w:rFonts w:eastAsia="Calibri"/>
          <w:color w:val="000000"/>
          <w:sz w:val="24"/>
        </w:rPr>
        <w:t xml:space="preserve">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t>- </w:t>
      </w:r>
      <w:proofErr w:type="spellStart"/>
      <w:r w:rsidRPr="00CA4B04">
        <w:rPr>
          <w:rFonts w:eastAsia="Calibri"/>
          <w:color w:val="000000"/>
          <w:sz w:val="24"/>
        </w:rPr>
        <w:t>Котельниковского</w:t>
      </w:r>
      <w:proofErr w:type="spellEnd"/>
      <w:r w:rsidRPr="00CA4B04">
        <w:rPr>
          <w:rFonts w:eastAsia="Calibri"/>
          <w:color w:val="000000"/>
          <w:sz w:val="24"/>
        </w:rPr>
        <w:t xml:space="preserve">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t>- Котовского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t>- Ленинского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t>- Нехаевского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t>- Николаевского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rFonts w:eastAsia="Calibri"/>
          <w:color w:val="000000"/>
          <w:sz w:val="24"/>
        </w:rPr>
      </w:pPr>
      <w:r w:rsidRPr="00CA4B04">
        <w:rPr>
          <w:rFonts w:eastAsia="Calibri"/>
          <w:color w:val="000000"/>
          <w:sz w:val="24"/>
        </w:rPr>
        <w:t>- </w:t>
      </w:r>
      <w:proofErr w:type="spellStart"/>
      <w:r w:rsidRPr="00CA4B04">
        <w:rPr>
          <w:rFonts w:eastAsia="Calibri"/>
          <w:color w:val="000000"/>
          <w:sz w:val="24"/>
        </w:rPr>
        <w:t>Руднянского</w:t>
      </w:r>
      <w:proofErr w:type="spellEnd"/>
      <w:r w:rsidRPr="00CA4B04">
        <w:rPr>
          <w:rFonts w:eastAsia="Calibri"/>
          <w:color w:val="000000"/>
          <w:sz w:val="24"/>
        </w:rPr>
        <w:t xml:space="preserve"> муниципального района;</w:t>
      </w:r>
    </w:p>
    <w:p w:rsidR="00ED4AA2" w:rsidRPr="00CA4B04" w:rsidRDefault="00ED4AA2" w:rsidP="00ED4AA2">
      <w:pPr>
        <w:tabs>
          <w:tab w:val="left" w:pos="900"/>
          <w:tab w:val="left" w:pos="1080"/>
        </w:tabs>
        <w:autoSpaceDE w:val="0"/>
        <w:autoSpaceDN w:val="0"/>
        <w:adjustRightInd w:val="0"/>
        <w:ind w:left="709"/>
        <w:jc w:val="both"/>
        <w:rPr>
          <w:rFonts w:eastAsia="Calibri"/>
          <w:color w:val="000000"/>
          <w:sz w:val="24"/>
        </w:rPr>
      </w:pPr>
    </w:p>
    <w:p w:rsidR="00ED4AA2" w:rsidRPr="00CA4B04" w:rsidRDefault="00ED4AA2" w:rsidP="00ED4AA2">
      <w:pPr>
        <w:tabs>
          <w:tab w:val="left" w:pos="900"/>
          <w:tab w:val="left" w:pos="1080"/>
        </w:tabs>
        <w:autoSpaceDE w:val="0"/>
        <w:autoSpaceDN w:val="0"/>
        <w:adjustRightInd w:val="0"/>
        <w:ind w:firstLine="567"/>
        <w:jc w:val="both"/>
        <w:rPr>
          <w:rFonts w:eastAsia="Calibri"/>
          <w:b/>
          <w:sz w:val="24"/>
        </w:rPr>
      </w:pPr>
      <w:r w:rsidRPr="00CA4B04">
        <w:rPr>
          <w:rFonts w:eastAsia="Calibri"/>
          <w:b/>
          <w:sz w:val="24"/>
        </w:rPr>
        <w:t>ООО «Тамерлан» в границах:</w:t>
      </w:r>
    </w:p>
    <w:p w:rsidR="00ED4AA2" w:rsidRPr="00CA4B04" w:rsidRDefault="00ED4AA2" w:rsidP="00ED4AA2">
      <w:pPr>
        <w:tabs>
          <w:tab w:val="left" w:pos="900"/>
          <w:tab w:val="left" w:pos="1080"/>
        </w:tabs>
        <w:autoSpaceDE w:val="0"/>
        <w:autoSpaceDN w:val="0"/>
        <w:adjustRightInd w:val="0"/>
        <w:ind w:firstLine="567"/>
        <w:jc w:val="both"/>
        <w:rPr>
          <w:rFonts w:eastAsia="Calibri"/>
          <w:sz w:val="24"/>
        </w:rPr>
      </w:pPr>
      <w:r w:rsidRPr="00CA4B04">
        <w:rPr>
          <w:rFonts w:eastAsia="Calibri"/>
          <w:sz w:val="24"/>
        </w:rPr>
        <w:t>- Быковского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rFonts w:eastAsia="Calibri"/>
          <w:sz w:val="24"/>
        </w:rPr>
      </w:pPr>
      <w:r w:rsidRPr="00CA4B04">
        <w:rPr>
          <w:rFonts w:eastAsia="Calibri"/>
          <w:sz w:val="24"/>
        </w:rPr>
        <w:t>- Даниловского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rFonts w:eastAsia="Calibri"/>
          <w:sz w:val="24"/>
        </w:rPr>
      </w:pPr>
      <w:r w:rsidRPr="00CA4B04">
        <w:rPr>
          <w:rFonts w:eastAsia="Calibri"/>
          <w:sz w:val="24"/>
        </w:rPr>
        <w:t>- </w:t>
      </w:r>
      <w:proofErr w:type="spellStart"/>
      <w:r w:rsidRPr="00CA4B04">
        <w:rPr>
          <w:rFonts w:eastAsia="Calibri"/>
          <w:sz w:val="24"/>
        </w:rPr>
        <w:t>Киквидзенского</w:t>
      </w:r>
      <w:proofErr w:type="spellEnd"/>
      <w:r w:rsidRPr="00CA4B04">
        <w:rPr>
          <w:rFonts w:eastAsia="Calibri"/>
          <w:sz w:val="24"/>
        </w:rPr>
        <w:t xml:space="preserve">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sz w:val="24"/>
        </w:rPr>
      </w:pPr>
      <w:r w:rsidRPr="00CA4B04">
        <w:rPr>
          <w:rFonts w:eastAsia="Calibri"/>
          <w:sz w:val="24"/>
        </w:rPr>
        <w:t>- </w:t>
      </w:r>
      <w:proofErr w:type="spellStart"/>
      <w:r w:rsidRPr="00CA4B04">
        <w:rPr>
          <w:rFonts w:eastAsia="Calibri"/>
          <w:sz w:val="24"/>
        </w:rPr>
        <w:t>Руднянского</w:t>
      </w:r>
      <w:proofErr w:type="spellEnd"/>
      <w:r w:rsidRPr="00CA4B04">
        <w:rPr>
          <w:rFonts w:eastAsia="Calibri"/>
          <w:sz w:val="24"/>
        </w:rPr>
        <w:t xml:space="preserve"> муниципального района;</w:t>
      </w:r>
    </w:p>
    <w:p w:rsidR="00ED4AA2" w:rsidRPr="00CA4B04" w:rsidRDefault="00ED4AA2" w:rsidP="00ED4AA2">
      <w:pPr>
        <w:tabs>
          <w:tab w:val="left" w:pos="900"/>
          <w:tab w:val="left" w:pos="1080"/>
        </w:tabs>
        <w:autoSpaceDE w:val="0"/>
        <w:autoSpaceDN w:val="0"/>
        <w:adjustRightInd w:val="0"/>
        <w:ind w:firstLine="567"/>
        <w:jc w:val="both"/>
        <w:rPr>
          <w:sz w:val="24"/>
        </w:rPr>
      </w:pPr>
      <w:r w:rsidRPr="00CA4B04">
        <w:rPr>
          <w:sz w:val="24"/>
        </w:rPr>
        <w:t>- </w:t>
      </w:r>
      <w:proofErr w:type="spellStart"/>
      <w:r w:rsidRPr="00CA4B04">
        <w:rPr>
          <w:rFonts w:eastAsia="Calibri"/>
          <w:sz w:val="24"/>
        </w:rPr>
        <w:t>Светлоярского</w:t>
      </w:r>
      <w:proofErr w:type="spellEnd"/>
      <w:r w:rsidRPr="00CA4B04">
        <w:rPr>
          <w:rFonts w:eastAsia="Calibri"/>
          <w:sz w:val="24"/>
        </w:rPr>
        <w:t xml:space="preserve"> муниципального района</w:t>
      </w:r>
      <w:r w:rsidRPr="00CA4B04">
        <w:rPr>
          <w:sz w:val="24"/>
        </w:rPr>
        <w:t>.</w:t>
      </w:r>
    </w:p>
    <w:p w:rsidR="00ED4AA2" w:rsidRPr="00CA4B04" w:rsidRDefault="00ED4AA2" w:rsidP="00ED4AA2">
      <w:pPr>
        <w:tabs>
          <w:tab w:val="left" w:pos="900"/>
          <w:tab w:val="left" w:pos="1080"/>
        </w:tabs>
        <w:autoSpaceDE w:val="0"/>
        <w:autoSpaceDN w:val="0"/>
        <w:adjustRightInd w:val="0"/>
        <w:ind w:firstLine="567"/>
        <w:jc w:val="both"/>
        <w:rPr>
          <w:sz w:val="24"/>
        </w:rPr>
      </w:pPr>
      <w:r w:rsidRPr="00CA4B04">
        <w:rPr>
          <w:sz w:val="24"/>
        </w:rPr>
        <w:t xml:space="preserve">Оценка соблюдения торговыми сетями Закона о торговле на предмет запрета приобретения дополнительных торговых площадей будет дана в 2-ом квартале 2020 после получения данных от </w:t>
      </w:r>
      <w:proofErr w:type="spellStart"/>
      <w:r w:rsidRPr="00CA4B04">
        <w:rPr>
          <w:sz w:val="24"/>
        </w:rPr>
        <w:t>Волгоградстат</w:t>
      </w:r>
      <w:proofErr w:type="spellEnd"/>
      <w:r w:rsidRPr="00CA4B04">
        <w:rPr>
          <w:sz w:val="24"/>
        </w:rPr>
        <w:t xml:space="preserve"> об объеме розничной реализации розничных товаров на территории региона.</w:t>
      </w:r>
    </w:p>
    <w:p w:rsidR="00ED4AA2" w:rsidRPr="00CA4B04" w:rsidRDefault="00ED4AA2" w:rsidP="00ED4AA2">
      <w:pPr>
        <w:tabs>
          <w:tab w:val="left" w:pos="900"/>
          <w:tab w:val="left" w:pos="1080"/>
        </w:tabs>
        <w:autoSpaceDE w:val="0"/>
        <w:autoSpaceDN w:val="0"/>
        <w:adjustRightInd w:val="0"/>
        <w:ind w:firstLine="567"/>
        <w:jc w:val="both"/>
        <w:rPr>
          <w:sz w:val="24"/>
        </w:rPr>
      </w:pPr>
    </w:p>
    <w:p w:rsidR="00ED4AA2" w:rsidRPr="00CA4B04" w:rsidRDefault="00ED4AA2" w:rsidP="00ED4AA2">
      <w:pPr>
        <w:tabs>
          <w:tab w:val="left" w:pos="900"/>
          <w:tab w:val="left" w:pos="1080"/>
        </w:tabs>
        <w:autoSpaceDE w:val="0"/>
        <w:autoSpaceDN w:val="0"/>
        <w:adjustRightInd w:val="0"/>
        <w:jc w:val="both"/>
        <w:rPr>
          <w:b/>
          <w:sz w:val="24"/>
        </w:rPr>
      </w:pPr>
      <w:r w:rsidRPr="00CA4B04">
        <w:rPr>
          <w:b/>
          <w:sz w:val="24"/>
        </w:rPr>
        <w:t>ГСМ</w:t>
      </w:r>
    </w:p>
    <w:p w:rsidR="00ED4AA2" w:rsidRPr="00CA4B04" w:rsidRDefault="00ED4AA2" w:rsidP="00ED4AA2">
      <w:pPr>
        <w:ind w:firstLine="567"/>
        <w:jc w:val="both"/>
        <w:rPr>
          <w:sz w:val="24"/>
        </w:rPr>
      </w:pPr>
      <w:r w:rsidRPr="00CA4B04">
        <w:rPr>
          <w:sz w:val="24"/>
        </w:rPr>
        <w:t>По результатам еженедельных мониторингов цен на нефтепродукты за 2019 год произошло повышение розничных цен на все виды топлива на территории Волгоградской области и составило за год:</w:t>
      </w:r>
    </w:p>
    <w:p w:rsidR="00ED4AA2" w:rsidRPr="00CA4B04" w:rsidRDefault="00ED4AA2" w:rsidP="00ED4AA2">
      <w:pPr>
        <w:ind w:firstLine="567"/>
        <w:jc w:val="both"/>
        <w:rPr>
          <w:sz w:val="24"/>
        </w:rPr>
      </w:pPr>
      <w:r w:rsidRPr="00CA4B04">
        <w:rPr>
          <w:sz w:val="24"/>
        </w:rPr>
        <w:t xml:space="preserve">- на автомобильные бензины АИ-92, АИ-95 в среднем на 4,25 %. </w:t>
      </w:r>
    </w:p>
    <w:p w:rsidR="00ED4AA2" w:rsidRPr="00CA4B04" w:rsidRDefault="00ED4AA2" w:rsidP="00ED4AA2">
      <w:pPr>
        <w:ind w:firstLine="567"/>
        <w:jc w:val="both"/>
        <w:rPr>
          <w:sz w:val="24"/>
        </w:rPr>
      </w:pPr>
      <w:r w:rsidRPr="00CA4B04">
        <w:rPr>
          <w:sz w:val="24"/>
        </w:rPr>
        <w:t>- на дизельное топливо – 4,73 %.</w:t>
      </w:r>
    </w:p>
    <w:p w:rsidR="00ED4AA2" w:rsidRPr="00CA4B04" w:rsidRDefault="00ED4AA2" w:rsidP="00ED4AA2">
      <w:pPr>
        <w:ind w:firstLine="567"/>
        <w:jc w:val="both"/>
        <w:rPr>
          <w:sz w:val="24"/>
        </w:rPr>
      </w:pPr>
      <w:r w:rsidRPr="00CA4B04">
        <w:rPr>
          <w:sz w:val="24"/>
        </w:rPr>
        <w:t>На рост стоимости на моторное топливо влияет ряд факторов: динамика мировых цен, рост отраслевых издержек и закупочных цен, общие инфляционные процессы в экономике нашей страны.</w:t>
      </w:r>
    </w:p>
    <w:p w:rsidR="00ED4AA2" w:rsidRPr="00CA4B04" w:rsidRDefault="00ED4AA2" w:rsidP="00ED4AA2">
      <w:pPr>
        <w:ind w:firstLine="567"/>
        <w:jc w:val="both"/>
        <w:rPr>
          <w:sz w:val="24"/>
        </w:rPr>
      </w:pPr>
      <w:proofErr w:type="gramStart"/>
      <w:r w:rsidRPr="00CA4B04">
        <w:rPr>
          <w:sz w:val="24"/>
        </w:rPr>
        <w:t>В ноябре 2018 г. в целях стабилизации цен на топливо, Минэнерго, ФАС России и нефтяными компаниями («Роснефть», ЛУКОЙЛ, «Газпром», «Газпром нефть», и т.д.) было подписано Соглашение.</w:t>
      </w:r>
      <w:proofErr w:type="gramEnd"/>
      <w:r w:rsidRPr="00CA4B04">
        <w:rPr>
          <w:sz w:val="24"/>
        </w:rPr>
        <w:t xml:space="preserve"> Данным Соглашением компании обязались сдерживать цены в рознице и на оптовом </w:t>
      </w:r>
      <w:proofErr w:type="gramStart"/>
      <w:r w:rsidRPr="00CA4B04">
        <w:rPr>
          <w:sz w:val="24"/>
        </w:rPr>
        <w:t>рынке</w:t>
      </w:r>
      <w:proofErr w:type="gramEnd"/>
      <w:r w:rsidRPr="00CA4B04">
        <w:rPr>
          <w:sz w:val="24"/>
        </w:rPr>
        <w:t xml:space="preserve"> на уровне специальных индикативных цен, которые установило правительство, а с начала 2019 г. не превышать темпы роста розничных цен на реализуемые нефтепродукты более чем на 1,7% (с учетом увеличения ставки НДС), с 1 февраля 2019 года – уровня прогнозируемой инфляции исходя из равномерного изменения цен в течение года.</w:t>
      </w:r>
    </w:p>
    <w:p w:rsidR="00ED4AA2" w:rsidRPr="00CA4B04" w:rsidRDefault="00ED4AA2" w:rsidP="00ED4AA2">
      <w:pPr>
        <w:ind w:firstLine="567"/>
        <w:jc w:val="both"/>
        <w:rPr>
          <w:sz w:val="24"/>
        </w:rPr>
      </w:pPr>
      <w:r w:rsidRPr="00CA4B04">
        <w:rPr>
          <w:sz w:val="24"/>
        </w:rPr>
        <w:t>За 2019 г. в действиях организаций, осуществляющих розничную реализацию нефтепродуктов на территории Волгоградской области, нарушений антимонопольного законодательства не выявлено.</w:t>
      </w:r>
    </w:p>
    <w:p w:rsidR="00ED4AA2" w:rsidRPr="00CA4B04" w:rsidRDefault="00ED4AA2" w:rsidP="00ED4AA2">
      <w:pPr>
        <w:jc w:val="both"/>
        <w:rPr>
          <w:b/>
          <w:sz w:val="24"/>
        </w:rPr>
      </w:pPr>
    </w:p>
    <w:p w:rsidR="00ED4AA2" w:rsidRPr="00CA4B04" w:rsidRDefault="00ED4AA2" w:rsidP="00ED4AA2">
      <w:pPr>
        <w:jc w:val="both"/>
        <w:rPr>
          <w:b/>
          <w:sz w:val="24"/>
        </w:rPr>
      </w:pPr>
      <w:r w:rsidRPr="00CA4B04">
        <w:rPr>
          <w:b/>
          <w:sz w:val="24"/>
        </w:rPr>
        <w:t>ТКО</w:t>
      </w:r>
    </w:p>
    <w:p w:rsidR="00ED4AA2" w:rsidRPr="00CA4B04" w:rsidRDefault="00ED4AA2" w:rsidP="00ED4AA2">
      <w:pPr>
        <w:ind w:firstLine="567"/>
        <w:jc w:val="both"/>
        <w:rPr>
          <w:sz w:val="24"/>
        </w:rPr>
      </w:pPr>
      <w:r w:rsidRPr="00CA4B04">
        <w:rPr>
          <w:sz w:val="24"/>
        </w:rPr>
        <w:t>Волгоградским УФАС России в отношении регионального оператора по обращению с ТКО ООО «Управление отходами – Волгоград» применены следующие меры антимонопольного реагирования:</w:t>
      </w:r>
    </w:p>
    <w:p w:rsidR="00ED4AA2" w:rsidRPr="00CA4B04" w:rsidRDefault="00ED4AA2" w:rsidP="00ED4AA2">
      <w:pPr>
        <w:ind w:firstLine="567"/>
        <w:jc w:val="both"/>
        <w:rPr>
          <w:sz w:val="24"/>
        </w:rPr>
      </w:pPr>
      <w:r w:rsidRPr="00CA4B04">
        <w:rPr>
          <w:sz w:val="24"/>
        </w:rPr>
        <w:t>- выдано 11 предупреждений по признакам нарушения ООО «Управление отходами - Волгоград» пункта 3 части 1 статьи 10 Закон о защите конкуренции, выразившихся в навязывании хозяйствующим субъектам экономически необоснованных и невыгодных условий при заключении договоров на оказание услуг по обращению с ТКО. Все предупреждения исполнены.</w:t>
      </w:r>
    </w:p>
    <w:p w:rsidR="00ED4AA2" w:rsidRPr="00CA4B04" w:rsidRDefault="00ED4AA2" w:rsidP="00ED4AA2">
      <w:pPr>
        <w:ind w:firstLine="567"/>
        <w:jc w:val="both"/>
        <w:rPr>
          <w:sz w:val="24"/>
        </w:rPr>
      </w:pPr>
      <w:r w:rsidRPr="00CA4B04">
        <w:rPr>
          <w:sz w:val="24"/>
        </w:rPr>
        <w:lastRenderedPageBreak/>
        <w:t xml:space="preserve">В отношении регионального оператора возбуждено дело № 034/01/10-1189/2019 по </w:t>
      </w:r>
      <w:proofErr w:type="gramStart"/>
      <w:r w:rsidRPr="00CA4B04">
        <w:rPr>
          <w:sz w:val="24"/>
        </w:rPr>
        <w:t>ч</w:t>
      </w:r>
      <w:proofErr w:type="gramEnd"/>
      <w:r w:rsidRPr="00CA4B04">
        <w:rPr>
          <w:sz w:val="24"/>
        </w:rPr>
        <w:t>. 1 ст. 10 Закон о защите конкуренции, выразившегося в выставлении СНТ и ИП задолженности в отсутствие подтвержденного факта оказания услуги по вывозу ТКО (дело находится на рассмотрении).</w:t>
      </w:r>
    </w:p>
    <w:p w:rsidR="00ED4AA2" w:rsidRPr="00CA4B04" w:rsidRDefault="00ED4AA2" w:rsidP="00ED4AA2">
      <w:pPr>
        <w:ind w:firstLine="567"/>
        <w:jc w:val="both"/>
        <w:rPr>
          <w:sz w:val="24"/>
        </w:rPr>
      </w:pPr>
    </w:p>
    <w:p w:rsidR="00ED4AA2" w:rsidRPr="00CA4B04" w:rsidRDefault="00ED4AA2" w:rsidP="00ED4AA2">
      <w:pPr>
        <w:rPr>
          <w:b/>
          <w:sz w:val="24"/>
        </w:rPr>
      </w:pPr>
      <w:r w:rsidRPr="00CA4B04">
        <w:rPr>
          <w:b/>
          <w:sz w:val="24"/>
        </w:rPr>
        <w:t>Продукты питания</w:t>
      </w:r>
    </w:p>
    <w:p w:rsidR="00ED4AA2" w:rsidRPr="00CA4B04" w:rsidRDefault="00ED4AA2" w:rsidP="00ED4AA2">
      <w:pPr>
        <w:ind w:firstLine="567"/>
        <w:rPr>
          <w:b/>
          <w:sz w:val="24"/>
        </w:rPr>
      </w:pPr>
      <w:proofErr w:type="gramStart"/>
      <w:r w:rsidRPr="00CA4B04">
        <w:rPr>
          <w:sz w:val="24"/>
        </w:rPr>
        <w:t>По результатам ежеквартальных мониторингов цен на отдельные виды продовольствия (говядина (кроме бескостного мяса), свинина (кроме бескостного мяса), куры (кроме куриных окороков), масло сливочное, молоко питьевое, овощи: картофель, капуста белокочанная свежая, лук репчатый, морковь, свекла, томат, огурец, рыба) признаков нарушений АМЗ не обнаружено.</w:t>
      </w:r>
      <w:r w:rsidRPr="00CA4B04">
        <w:rPr>
          <w:b/>
          <w:sz w:val="24"/>
        </w:rPr>
        <w:t xml:space="preserve"> </w:t>
      </w:r>
      <w:proofErr w:type="gramEnd"/>
    </w:p>
    <w:p w:rsidR="00ED4AA2" w:rsidRPr="00CA4B04" w:rsidRDefault="00ED4AA2" w:rsidP="00ED4AA2">
      <w:pPr>
        <w:ind w:firstLine="567"/>
        <w:rPr>
          <w:b/>
          <w:sz w:val="24"/>
        </w:rPr>
      </w:pPr>
    </w:p>
    <w:p w:rsidR="00ED4AA2" w:rsidRPr="00CA4B04" w:rsidRDefault="00ED4AA2" w:rsidP="00ED4AA2">
      <w:pPr>
        <w:rPr>
          <w:b/>
          <w:sz w:val="24"/>
        </w:rPr>
      </w:pPr>
      <w:r w:rsidRPr="00CA4B04">
        <w:rPr>
          <w:b/>
          <w:sz w:val="24"/>
        </w:rPr>
        <w:t>Переход на цифровое телевидение</w:t>
      </w:r>
    </w:p>
    <w:p w:rsidR="00ED4AA2" w:rsidRPr="00CA4B04" w:rsidRDefault="00ED4AA2" w:rsidP="00ED4AA2">
      <w:pPr>
        <w:ind w:firstLine="567"/>
        <w:jc w:val="both"/>
        <w:rPr>
          <w:sz w:val="24"/>
        </w:rPr>
      </w:pPr>
      <w:proofErr w:type="gramStart"/>
      <w:r w:rsidRPr="00CA4B04">
        <w:rPr>
          <w:sz w:val="24"/>
        </w:rPr>
        <w:t>В этой связи в целях недопущения необоснованного роста цен на оборудование Волгоградским УФАС совместно с ФАС России проводился ежемесячный мониторинг цен на цифровое оборудование (цифровые приставки и телевизоры, принимающие цифровой сигнал).</w:t>
      </w:r>
      <w:proofErr w:type="gramEnd"/>
      <w:r w:rsidRPr="00CA4B04">
        <w:rPr>
          <w:sz w:val="24"/>
        </w:rPr>
        <w:t xml:space="preserve"> Резкого увеличения цен на оборудование Управлением не зафиксировано.</w:t>
      </w:r>
    </w:p>
    <w:p w:rsidR="00ED4AA2" w:rsidRPr="00CA4B04" w:rsidRDefault="00ED4AA2" w:rsidP="00ED4AA2">
      <w:pPr>
        <w:ind w:firstLine="567"/>
        <w:jc w:val="both"/>
        <w:rPr>
          <w:sz w:val="24"/>
        </w:rPr>
      </w:pPr>
    </w:p>
    <w:p w:rsidR="00ED4AA2" w:rsidRPr="00CA4B04" w:rsidRDefault="00ED4AA2" w:rsidP="00ED4AA2">
      <w:pPr>
        <w:rPr>
          <w:b/>
          <w:sz w:val="24"/>
        </w:rPr>
      </w:pPr>
      <w:r w:rsidRPr="00CA4B04">
        <w:rPr>
          <w:b/>
          <w:sz w:val="24"/>
        </w:rPr>
        <w:t>Медицинские маски</w:t>
      </w:r>
    </w:p>
    <w:p w:rsidR="00ED4AA2" w:rsidRPr="00CA4B04" w:rsidRDefault="00ED4AA2" w:rsidP="00ED4AA2">
      <w:pPr>
        <w:ind w:firstLine="567"/>
        <w:jc w:val="both"/>
        <w:rPr>
          <w:sz w:val="24"/>
        </w:rPr>
      </w:pPr>
      <w:proofErr w:type="gramStart"/>
      <w:r w:rsidRPr="00CA4B04">
        <w:rPr>
          <w:sz w:val="24"/>
        </w:rPr>
        <w:t>Волгоградским</w:t>
      </w:r>
      <w:proofErr w:type="gramEnd"/>
      <w:r w:rsidRPr="00CA4B04">
        <w:rPr>
          <w:sz w:val="24"/>
        </w:rPr>
        <w:t xml:space="preserve"> УФАС России с 10.02.2020 проводится еженедельный мониторинг розничных цен на медицинские маски, </w:t>
      </w:r>
      <w:r w:rsidRPr="00CA4B04">
        <w:rPr>
          <w:rFonts w:eastAsia="Calibri"/>
          <w:sz w:val="24"/>
        </w:rPr>
        <w:t>на данный момент фактов необоснованного завышения цен не установлено</w:t>
      </w:r>
      <w:r w:rsidRPr="00CA4B04">
        <w:rPr>
          <w:sz w:val="24"/>
        </w:rPr>
        <w:t>.</w:t>
      </w:r>
    </w:p>
    <w:p w:rsidR="00ED4AA2" w:rsidRPr="00CA4B04" w:rsidRDefault="00ED4AA2" w:rsidP="00ED4AA2">
      <w:pPr>
        <w:ind w:firstLine="567"/>
        <w:jc w:val="both"/>
        <w:rPr>
          <w:sz w:val="24"/>
        </w:rPr>
      </w:pPr>
      <w:r w:rsidRPr="00CA4B04">
        <w:rPr>
          <w:sz w:val="24"/>
        </w:rPr>
        <w:t>Роста</w:t>
      </w:r>
      <w:r w:rsidRPr="00CA4B04">
        <w:rPr>
          <w:rFonts w:eastAsia="Calibri"/>
          <w:sz w:val="24"/>
        </w:rPr>
        <w:t xml:space="preserve"> цен в январе 2020 года по отношению к декабрю 2019 года на медицинские маски в Волгоградской области за данный период не установлено</w:t>
      </w:r>
      <w:r w:rsidRPr="00CA4B04">
        <w:rPr>
          <w:sz w:val="24"/>
        </w:rPr>
        <w:t>.</w:t>
      </w:r>
    </w:p>
    <w:p w:rsidR="00ED4AA2" w:rsidRPr="00CA4B04" w:rsidRDefault="00ED4AA2" w:rsidP="00ED4AA2">
      <w:pPr>
        <w:ind w:firstLine="567"/>
        <w:jc w:val="both"/>
        <w:rPr>
          <w:sz w:val="24"/>
        </w:rPr>
      </w:pPr>
      <w:r w:rsidRPr="00CA4B04">
        <w:rPr>
          <w:sz w:val="24"/>
        </w:rPr>
        <w:t xml:space="preserve">Проведены 2 совместных совещания с комитетом промышленности и торговли, комитетом здравоохранения, </w:t>
      </w:r>
      <w:proofErr w:type="spellStart"/>
      <w:r w:rsidRPr="00CA4B04">
        <w:rPr>
          <w:sz w:val="24"/>
        </w:rPr>
        <w:t>Росздравнадзором</w:t>
      </w:r>
      <w:proofErr w:type="spellEnd"/>
      <w:r w:rsidRPr="00CA4B04">
        <w:rPr>
          <w:sz w:val="24"/>
        </w:rPr>
        <w:t xml:space="preserve"> Волгоградской области </w:t>
      </w:r>
      <w:r w:rsidRPr="00CA4B04">
        <w:rPr>
          <w:rFonts w:eastAsia="Calibri"/>
          <w:sz w:val="24"/>
        </w:rPr>
        <w:t>по вопросу особенностей ценообразования на медицинские маски и оценки обоснованности роста цен на них</w:t>
      </w:r>
      <w:r w:rsidRPr="00CA4B04">
        <w:rPr>
          <w:sz w:val="24"/>
        </w:rPr>
        <w:t>.</w:t>
      </w:r>
    </w:p>
    <w:p w:rsidR="00ED4AA2" w:rsidRPr="00CA4B04" w:rsidRDefault="00ED4AA2" w:rsidP="00ED4AA2">
      <w:pPr>
        <w:ind w:firstLine="567"/>
        <w:jc w:val="both"/>
        <w:rPr>
          <w:rFonts w:eastAsia="Calibri"/>
          <w:sz w:val="24"/>
        </w:rPr>
      </w:pPr>
      <w:r w:rsidRPr="00CA4B04">
        <w:rPr>
          <w:rFonts w:eastAsia="Calibri"/>
          <w:sz w:val="24"/>
        </w:rPr>
        <w:t>Текущие цены на медицинские маски в аптечных учреждениях и торговых сетях разнятся в зависимости от производителя и разновидностей указанной продукции, цен поставщиков, даты закупки масок, имеющихся на складах.</w:t>
      </w:r>
    </w:p>
    <w:p w:rsidR="00ED4AA2" w:rsidRPr="00CA4B04" w:rsidRDefault="00ED4AA2" w:rsidP="00ED4AA2">
      <w:pPr>
        <w:ind w:firstLine="567"/>
        <w:jc w:val="both"/>
        <w:rPr>
          <w:rFonts w:eastAsia="Calibri"/>
          <w:sz w:val="24"/>
        </w:rPr>
      </w:pPr>
      <w:r w:rsidRPr="00CA4B04">
        <w:rPr>
          <w:rFonts w:eastAsia="Calibri"/>
          <w:sz w:val="24"/>
        </w:rPr>
        <w:t>Минимальная стоимость одной медицинской маски (трехслойная на резинках) – 7 руб.шт.</w:t>
      </w:r>
    </w:p>
    <w:p w:rsidR="00ED4AA2" w:rsidRPr="00CA4B04" w:rsidRDefault="00ED4AA2" w:rsidP="00ED4AA2">
      <w:pPr>
        <w:ind w:firstLine="567"/>
        <w:jc w:val="both"/>
        <w:rPr>
          <w:sz w:val="24"/>
        </w:rPr>
      </w:pPr>
      <w:r w:rsidRPr="00CA4B04">
        <w:rPr>
          <w:rFonts w:eastAsia="Calibri"/>
          <w:sz w:val="24"/>
        </w:rPr>
        <w:t>Максимальная стоимость одной медицинской маски (</w:t>
      </w:r>
      <w:proofErr w:type="spellStart"/>
      <w:r w:rsidRPr="00CA4B04">
        <w:rPr>
          <w:rFonts w:eastAsia="Calibri"/>
          <w:sz w:val="24"/>
        </w:rPr>
        <w:t>Клинса</w:t>
      </w:r>
      <w:proofErr w:type="spellEnd"/>
      <w:r w:rsidRPr="00CA4B04">
        <w:rPr>
          <w:rFonts w:eastAsia="Calibri"/>
          <w:sz w:val="24"/>
        </w:rPr>
        <w:t xml:space="preserve"> маска медицинская из </w:t>
      </w:r>
      <w:proofErr w:type="spellStart"/>
      <w:r w:rsidRPr="00CA4B04">
        <w:rPr>
          <w:rFonts w:eastAsia="Calibri"/>
          <w:sz w:val="24"/>
        </w:rPr>
        <w:t>нетканного</w:t>
      </w:r>
      <w:proofErr w:type="spellEnd"/>
      <w:r w:rsidRPr="00CA4B04">
        <w:rPr>
          <w:rFonts w:eastAsia="Calibri"/>
          <w:sz w:val="24"/>
        </w:rPr>
        <w:t xml:space="preserve"> материала) – 10,4 руб.ш</w:t>
      </w:r>
      <w:r w:rsidRPr="00CA4B04">
        <w:rPr>
          <w:sz w:val="24"/>
        </w:rPr>
        <w:t>т.</w:t>
      </w:r>
    </w:p>
    <w:p w:rsidR="00ED4AA2" w:rsidRPr="00CA4B04" w:rsidRDefault="00ED4AA2" w:rsidP="00ED4AA2">
      <w:pPr>
        <w:ind w:firstLine="567"/>
        <w:jc w:val="both"/>
        <w:rPr>
          <w:sz w:val="24"/>
        </w:rPr>
      </w:pPr>
      <w:r w:rsidRPr="00CA4B04">
        <w:rPr>
          <w:rFonts w:eastAsia="Calibri"/>
          <w:sz w:val="24"/>
        </w:rPr>
        <w:t>Основной причиной роста цен на медицинские маски в аптечных учреждениях и торговых сетевых компаниях является рост цен у поставщиков в оптовом сегменте рынка. Указанная ситуация обостряется тем, что в последние дни наблюдается ажиотажный спрос на медицинские маски в аптечном сегменте.</w:t>
      </w:r>
    </w:p>
    <w:p w:rsidR="00B74ED4" w:rsidRPr="00CA4B04" w:rsidRDefault="00B74ED4" w:rsidP="00B74ED4">
      <w:pPr>
        <w:ind w:firstLine="706"/>
        <w:contextualSpacing/>
        <w:jc w:val="both"/>
        <w:rPr>
          <w:rFonts w:eastAsiaTheme="minorHAnsi"/>
          <w:b/>
          <w:sz w:val="24"/>
          <w:lang w:eastAsia="en-US"/>
        </w:rPr>
      </w:pPr>
    </w:p>
    <w:p w:rsidR="00ED4AA2" w:rsidRPr="00CA4B04" w:rsidRDefault="00ED4AA2" w:rsidP="00B74ED4">
      <w:pPr>
        <w:ind w:firstLine="706"/>
        <w:contextualSpacing/>
        <w:jc w:val="both"/>
        <w:rPr>
          <w:rFonts w:eastAsiaTheme="minorHAnsi"/>
          <w:b/>
          <w:sz w:val="24"/>
          <w:lang w:eastAsia="en-US"/>
        </w:rPr>
      </w:pPr>
    </w:p>
    <w:p w:rsidR="00ED4AA2" w:rsidRPr="00CA4B04" w:rsidRDefault="00C6776B" w:rsidP="00ED4AA2">
      <w:pPr>
        <w:autoSpaceDE w:val="0"/>
        <w:autoSpaceDN w:val="0"/>
        <w:adjustRightInd w:val="0"/>
        <w:ind w:right="-2"/>
        <w:jc w:val="center"/>
        <w:rPr>
          <w:b/>
          <w:sz w:val="24"/>
          <w:u w:val="single"/>
        </w:rPr>
      </w:pPr>
      <w:r w:rsidRPr="00CA4B04">
        <w:rPr>
          <w:b/>
          <w:sz w:val="24"/>
          <w:u w:val="single"/>
        </w:rPr>
        <w:t>Контроль органов власти</w:t>
      </w:r>
    </w:p>
    <w:p w:rsidR="00ED4AA2" w:rsidRPr="00CA4B04" w:rsidRDefault="00ED4AA2" w:rsidP="0043516D">
      <w:pPr>
        <w:autoSpaceDE w:val="0"/>
        <w:autoSpaceDN w:val="0"/>
        <w:adjustRightInd w:val="0"/>
        <w:ind w:right="-2"/>
        <w:jc w:val="center"/>
        <w:rPr>
          <w:b/>
          <w:i/>
          <w:sz w:val="24"/>
          <w:u w:val="single"/>
        </w:rPr>
      </w:pPr>
    </w:p>
    <w:p w:rsidR="00E817FD" w:rsidRPr="00CA4B04" w:rsidRDefault="00E817FD" w:rsidP="00B74ED4">
      <w:pPr>
        <w:pStyle w:val="ab"/>
        <w:numPr>
          <w:ilvl w:val="0"/>
          <w:numId w:val="11"/>
        </w:numPr>
        <w:ind w:left="0" w:firstLine="706"/>
        <w:jc w:val="both"/>
        <w:rPr>
          <w:rFonts w:eastAsiaTheme="minorHAnsi"/>
          <w:sz w:val="24"/>
          <w:lang w:eastAsia="en-US"/>
        </w:rPr>
      </w:pPr>
      <w:r w:rsidRPr="00CA4B04">
        <w:rPr>
          <w:rFonts w:eastAsiaTheme="minorHAnsi"/>
          <w:sz w:val="24"/>
          <w:lang w:eastAsia="en-US"/>
        </w:rPr>
        <w:t xml:space="preserve">В результате плановой проверки в действиях администрации </w:t>
      </w:r>
      <w:proofErr w:type="spellStart"/>
      <w:r w:rsidRPr="00CA4B04">
        <w:rPr>
          <w:rFonts w:eastAsiaTheme="minorHAnsi"/>
          <w:sz w:val="24"/>
          <w:lang w:eastAsia="en-US"/>
        </w:rPr>
        <w:t>Фроловского</w:t>
      </w:r>
      <w:proofErr w:type="spellEnd"/>
      <w:r w:rsidRPr="00CA4B04">
        <w:rPr>
          <w:rFonts w:eastAsiaTheme="minorHAnsi"/>
          <w:sz w:val="24"/>
          <w:lang w:eastAsia="en-US"/>
        </w:rPr>
        <w:t xml:space="preserve"> муниципального района выявлено нарушение </w:t>
      </w:r>
      <w:proofErr w:type="gramStart"/>
      <w:r w:rsidRPr="00CA4B04">
        <w:rPr>
          <w:rFonts w:eastAsiaTheme="minorHAnsi"/>
          <w:sz w:val="24"/>
          <w:lang w:eastAsia="en-US"/>
        </w:rPr>
        <w:t>ч</w:t>
      </w:r>
      <w:proofErr w:type="gramEnd"/>
      <w:r w:rsidRPr="00CA4B04">
        <w:rPr>
          <w:rFonts w:eastAsiaTheme="minorHAnsi"/>
          <w:sz w:val="24"/>
          <w:lang w:eastAsia="en-US"/>
        </w:rPr>
        <w:t>. 1 ст. 17 Закона защите конкуренции при проведении аукционов на право заключения договоров аренды земельных участков для размещения сельскохозяйственных ярмарок со сроком аренды 49 лет.</w:t>
      </w:r>
    </w:p>
    <w:p w:rsidR="00E817FD" w:rsidRPr="00CA4B04" w:rsidRDefault="00E817FD" w:rsidP="00B74ED4">
      <w:pPr>
        <w:ind w:firstLine="706"/>
        <w:jc w:val="both"/>
        <w:rPr>
          <w:rFonts w:eastAsiaTheme="minorHAnsi"/>
          <w:sz w:val="24"/>
          <w:lang w:eastAsia="en-US"/>
        </w:rPr>
      </w:pPr>
      <w:r w:rsidRPr="00CA4B04">
        <w:rPr>
          <w:rFonts w:eastAsiaTheme="minorHAnsi"/>
          <w:sz w:val="24"/>
          <w:lang w:eastAsia="en-US"/>
        </w:rPr>
        <w:t>Согласно действующему законодательству для проведения ярмарки земельный участок в аренду не предоставляется. Предоставляется место (торговый объект, часть территории муниципального образования Волгоградской области), на котором возможно проведение ярмарок по аналогии с местом под НТО или под рекламную конструкцию.</w:t>
      </w:r>
    </w:p>
    <w:p w:rsidR="00E817FD" w:rsidRPr="00CA4B04" w:rsidRDefault="00E817FD" w:rsidP="00B74ED4">
      <w:pPr>
        <w:ind w:firstLine="706"/>
        <w:jc w:val="both"/>
        <w:rPr>
          <w:rFonts w:eastAsiaTheme="minorHAnsi"/>
          <w:sz w:val="24"/>
          <w:lang w:eastAsia="en-US"/>
        </w:rPr>
      </w:pPr>
      <w:r w:rsidRPr="00CA4B04">
        <w:rPr>
          <w:rFonts w:eastAsiaTheme="minorHAnsi"/>
          <w:sz w:val="24"/>
          <w:lang w:eastAsia="en-US"/>
        </w:rPr>
        <w:lastRenderedPageBreak/>
        <w:t>Администрацией в нарушение приказа комитета промышленности и торговли Волгоградской области от 14.09.2016 № 23-н объявлены и проведены торги на право заключения двух договоров аренды земельных участков под ярмарки на 49 лет. В ходе рассмотрения дела договоры расторгнуты по соглашению сторон.</w:t>
      </w:r>
    </w:p>
    <w:p w:rsidR="00E817FD" w:rsidRPr="00CA4B04" w:rsidRDefault="006F0A11" w:rsidP="00B74ED4">
      <w:pPr>
        <w:pStyle w:val="ab"/>
        <w:numPr>
          <w:ilvl w:val="0"/>
          <w:numId w:val="11"/>
        </w:numPr>
        <w:ind w:left="0" w:firstLine="706"/>
        <w:jc w:val="both"/>
        <w:rPr>
          <w:rFonts w:eastAsiaTheme="minorHAnsi"/>
          <w:sz w:val="24"/>
          <w:lang w:eastAsia="en-US"/>
        </w:rPr>
      </w:pPr>
      <w:r w:rsidRPr="00CA4B04">
        <w:rPr>
          <w:rFonts w:eastAsiaTheme="minorHAnsi"/>
          <w:sz w:val="24"/>
          <w:lang w:eastAsia="en-US"/>
        </w:rPr>
        <w:t>Р</w:t>
      </w:r>
      <w:r w:rsidR="00E817FD" w:rsidRPr="00CA4B04">
        <w:rPr>
          <w:rFonts w:eastAsiaTheme="minorHAnsi"/>
          <w:sz w:val="24"/>
          <w:lang w:eastAsia="en-US"/>
        </w:rPr>
        <w:t>ассмотрено 35 жалоб на аукционы по продаже арестованного имущества</w:t>
      </w:r>
      <w:r w:rsidR="00E45E93" w:rsidRPr="00CA4B04">
        <w:rPr>
          <w:rFonts w:eastAsiaTheme="minorHAnsi"/>
          <w:sz w:val="24"/>
          <w:lang w:eastAsia="en-US"/>
        </w:rPr>
        <w:t xml:space="preserve"> (в порядке ст. 18.1 Закона о защите конкуренции)</w:t>
      </w:r>
      <w:r w:rsidR="00E817FD" w:rsidRPr="00CA4B04">
        <w:rPr>
          <w:rFonts w:eastAsiaTheme="minorHAnsi"/>
          <w:sz w:val="24"/>
          <w:lang w:eastAsia="en-US"/>
        </w:rPr>
        <w:t xml:space="preserve">, из них 21 </w:t>
      </w:r>
      <w:proofErr w:type="gramStart"/>
      <w:r w:rsidR="00E817FD" w:rsidRPr="00CA4B04">
        <w:rPr>
          <w:rFonts w:eastAsiaTheme="minorHAnsi"/>
          <w:sz w:val="24"/>
          <w:lang w:eastAsia="en-US"/>
        </w:rPr>
        <w:t>признана</w:t>
      </w:r>
      <w:proofErr w:type="gramEnd"/>
      <w:r w:rsidR="00E817FD" w:rsidRPr="00CA4B04">
        <w:rPr>
          <w:rFonts w:eastAsiaTheme="minorHAnsi"/>
          <w:sz w:val="24"/>
          <w:lang w:eastAsia="en-US"/>
        </w:rPr>
        <w:t xml:space="preserve"> обоснованной, выдано 17 предписаний, все обжалованы в суд.</w:t>
      </w:r>
    </w:p>
    <w:p w:rsidR="00E817FD" w:rsidRPr="00CA4B04" w:rsidRDefault="00E817FD" w:rsidP="00B74ED4">
      <w:pPr>
        <w:ind w:firstLine="706"/>
        <w:jc w:val="both"/>
        <w:rPr>
          <w:rFonts w:eastAsiaTheme="minorHAnsi"/>
          <w:sz w:val="24"/>
          <w:lang w:eastAsia="en-US"/>
        </w:rPr>
      </w:pPr>
      <w:r w:rsidRPr="00CA4B04">
        <w:rPr>
          <w:rFonts w:eastAsiaTheme="minorHAnsi"/>
          <w:sz w:val="24"/>
          <w:lang w:eastAsia="en-US"/>
        </w:rPr>
        <w:t>Большинство жалоб было в отношен</w:t>
      </w:r>
      <w:proofErr w:type="gramStart"/>
      <w:r w:rsidRPr="00CA4B04">
        <w:rPr>
          <w:rFonts w:eastAsiaTheme="minorHAnsi"/>
          <w:sz w:val="24"/>
          <w:lang w:eastAsia="en-US"/>
        </w:rPr>
        <w:t>ии ООО</w:t>
      </w:r>
      <w:proofErr w:type="gramEnd"/>
      <w:r w:rsidRPr="00CA4B04">
        <w:rPr>
          <w:rFonts w:eastAsiaTheme="minorHAnsi"/>
          <w:sz w:val="24"/>
          <w:lang w:eastAsia="en-US"/>
        </w:rPr>
        <w:t xml:space="preserve"> «АРНАЛ», которое реализов</w:t>
      </w:r>
      <w:r w:rsidR="006F0A11" w:rsidRPr="00CA4B04">
        <w:rPr>
          <w:rFonts w:eastAsiaTheme="minorHAnsi"/>
          <w:sz w:val="24"/>
          <w:lang w:eastAsia="en-US"/>
        </w:rPr>
        <w:t>ыв</w:t>
      </w:r>
      <w:r w:rsidRPr="00CA4B04">
        <w:rPr>
          <w:rFonts w:eastAsiaTheme="minorHAnsi"/>
          <w:sz w:val="24"/>
          <w:lang w:eastAsia="en-US"/>
        </w:rPr>
        <w:t>ало арестованное имущество</w:t>
      </w:r>
      <w:r w:rsidR="006F0A11" w:rsidRPr="00CA4B04">
        <w:rPr>
          <w:rFonts w:eastAsiaTheme="minorHAnsi"/>
          <w:sz w:val="24"/>
          <w:lang w:eastAsia="en-US"/>
        </w:rPr>
        <w:t xml:space="preserve"> на основании контракта, заключё</w:t>
      </w:r>
      <w:r w:rsidRPr="00CA4B04">
        <w:rPr>
          <w:rFonts w:eastAsiaTheme="minorHAnsi"/>
          <w:sz w:val="24"/>
          <w:lang w:eastAsia="en-US"/>
        </w:rPr>
        <w:t xml:space="preserve">нного с ТУ </w:t>
      </w:r>
      <w:proofErr w:type="spellStart"/>
      <w:r w:rsidRPr="00CA4B04">
        <w:rPr>
          <w:rFonts w:eastAsiaTheme="minorHAnsi"/>
          <w:sz w:val="24"/>
          <w:lang w:eastAsia="en-US"/>
        </w:rPr>
        <w:t>Росимуществом</w:t>
      </w:r>
      <w:proofErr w:type="spellEnd"/>
      <w:r w:rsidRPr="00CA4B04">
        <w:rPr>
          <w:rFonts w:eastAsiaTheme="minorHAnsi"/>
          <w:sz w:val="24"/>
          <w:lang w:eastAsia="en-US"/>
        </w:rPr>
        <w:t xml:space="preserve"> в Волгоградской области.</w:t>
      </w:r>
    </w:p>
    <w:p w:rsidR="00E817FD" w:rsidRPr="00CA4B04" w:rsidRDefault="00E817FD" w:rsidP="00B74ED4">
      <w:pPr>
        <w:ind w:firstLine="706"/>
        <w:jc w:val="both"/>
        <w:rPr>
          <w:rFonts w:eastAsiaTheme="minorHAnsi"/>
          <w:sz w:val="24"/>
          <w:lang w:eastAsia="en-US"/>
        </w:rPr>
      </w:pPr>
      <w:r w:rsidRPr="00CA4B04">
        <w:rPr>
          <w:rFonts w:eastAsiaTheme="minorHAnsi"/>
          <w:sz w:val="24"/>
          <w:lang w:eastAsia="en-US"/>
        </w:rPr>
        <w:t xml:space="preserve">ООО «АРНАЛ» в информационных сообщениях о торгах указывало, что торги проводятся путем повышения начальной цены, не устанавливая при этом конкретный шаг аукциона. Таким образом, размер шага аукциона не был известен для участников аукциона вплоть до начала проведения торгов. Неопределенность в шаге торгов не позволяет претенденту на участие в </w:t>
      </w:r>
      <w:r w:rsidR="006F0A11" w:rsidRPr="00CA4B04">
        <w:rPr>
          <w:rFonts w:eastAsiaTheme="minorHAnsi"/>
          <w:sz w:val="24"/>
          <w:lang w:eastAsia="en-US"/>
        </w:rPr>
        <w:t>них</w:t>
      </w:r>
      <w:r w:rsidRPr="00CA4B04">
        <w:rPr>
          <w:rFonts w:eastAsiaTheme="minorHAnsi"/>
          <w:sz w:val="24"/>
          <w:lang w:eastAsia="en-US"/>
        </w:rPr>
        <w:t xml:space="preserve"> в достаточной мере оценить свои финансовые возможности при участии в торгах, что сокращает количество претендентов на участие в них.</w:t>
      </w:r>
    </w:p>
    <w:p w:rsidR="00E817FD" w:rsidRPr="00CA4B04" w:rsidRDefault="00E817FD" w:rsidP="00B74ED4">
      <w:pPr>
        <w:ind w:firstLine="706"/>
        <w:jc w:val="both"/>
        <w:rPr>
          <w:rFonts w:eastAsiaTheme="minorHAnsi"/>
          <w:sz w:val="24"/>
          <w:lang w:eastAsia="en-US"/>
        </w:rPr>
      </w:pPr>
      <w:r w:rsidRPr="00CA4B04">
        <w:rPr>
          <w:rFonts w:eastAsiaTheme="minorHAnsi"/>
          <w:sz w:val="24"/>
          <w:lang w:eastAsia="en-US"/>
        </w:rPr>
        <w:t>Суд согласился с позицией антимонопольного органа о нарушен</w:t>
      </w:r>
      <w:proofErr w:type="gramStart"/>
      <w:r w:rsidRPr="00CA4B04">
        <w:rPr>
          <w:rFonts w:eastAsiaTheme="minorHAnsi"/>
          <w:sz w:val="24"/>
          <w:lang w:eastAsia="en-US"/>
        </w:rPr>
        <w:t>ии ООО</w:t>
      </w:r>
      <w:proofErr w:type="gramEnd"/>
      <w:r w:rsidRPr="00CA4B04">
        <w:rPr>
          <w:rFonts w:eastAsiaTheme="minorHAnsi"/>
          <w:sz w:val="24"/>
          <w:lang w:eastAsia="en-US"/>
        </w:rPr>
        <w:t xml:space="preserve"> «АРНАЛ» норм гражданского законодательства (</w:t>
      </w:r>
      <w:r w:rsidR="006F0A11" w:rsidRPr="00CA4B04">
        <w:rPr>
          <w:rFonts w:eastAsiaTheme="minorHAnsi"/>
          <w:sz w:val="24"/>
          <w:lang w:eastAsia="en-US"/>
        </w:rPr>
        <w:t xml:space="preserve">дело </w:t>
      </w:r>
      <w:r w:rsidRPr="00CA4B04">
        <w:rPr>
          <w:rFonts w:eastAsiaTheme="minorHAnsi"/>
          <w:sz w:val="24"/>
          <w:lang w:eastAsia="en-US"/>
        </w:rPr>
        <w:t>№ А12-20955/2019).</w:t>
      </w:r>
    </w:p>
    <w:p w:rsidR="00D553BE" w:rsidRPr="00CA4B04" w:rsidRDefault="00D553BE" w:rsidP="00B74ED4">
      <w:pPr>
        <w:pStyle w:val="a3"/>
        <w:tabs>
          <w:tab w:val="left" w:pos="1120"/>
        </w:tabs>
        <w:ind w:right="23" w:firstLine="706"/>
        <w:contextualSpacing/>
        <w:jc w:val="both"/>
        <w:rPr>
          <w:b w:val="0"/>
          <w:sz w:val="24"/>
        </w:rPr>
      </w:pPr>
    </w:p>
    <w:p w:rsidR="00ED4AA2" w:rsidRPr="00CA4B04" w:rsidRDefault="00ED4AA2" w:rsidP="00B74ED4">
      <w:pPr>
        <w:pStyle w:val="a3"/>
        <w:tabs>
          <w:tab w:val="left" w:pos="1120"/>
        </w:tabs>
        <w:ind w:right="23" w:firstLine="706"/>
        <w:contextualSpacing/>
        <w:jc w:val="both"/>
        <w:rPr>
          <w:sz w:val="24"/>
        </w:rPr>
      </w:pPr>
    </w:p>
    <w:p w:rsidR="00C6776B" w:rsidRPr="00CA4B04" w:rsidRDefault="00C6776B" w:rsidP="00832919">
      <w:pPr>
        <w:jc w:val="center"/>
        <w:rPr>
          <w:rFonts w:eastAsia="Calibri"/>
          <w:b/>
          <w:sz w:val="24"/>
          <w:u w:val="single"/>
          <w:lang w:eastAsia="en-US"/>
        </w:rPr>
      </w:pPr>
      <w:r w:rsidRPr="00CA4B04">
        <w:rPr>
          <w:rFonts w:eastAsia="Calibri"/>
          <w:b/>
          <w:sz w:val="24"/>
          <w:u w:val="single"/>
          <w:lang w:eastAsia="en-US"/>
        </w:rPr>
        <w:t>Контроль госзаказа</w:t>
      </w:r>
    </w:p>
    <w:p w:rsidR="00ED4AA2" w:rsidRPr="00CA4B04" w:rsidRDefault="00ED4AA2" w:rsidP="00832919">
      <w:pPr>
        <w:jc w:val="center"/>
        <w:rPr>
          <w:rFonts w:eastAsia="Calibri"/>
          <w:b/>
          <w:i/>
          <w:sz w:val="24"/>
          <w:u w:val="single"/>
          <w:lang w:eastAsia="en-US"/>
        </w:rPr>
      </w:pPr>
    </w:p>
    <w:p w:rsidR="005A36FC" w:rsidRPr="00CA4B04" w:rsidRDefault="005A36FC" w:rsidP="00B74ED4">
      <w:pPr>
        <w:pStyle w:val="ab"/>
        <w:numPr>
          <w:ilvl w:val="0"/>
          <w:numId w:val="12"/>
        </w:numPr>
        <w:autoSpaceDE w:val="0"/>
        <w:autoSpaceDN w:val="0"/>
        <w:adjustRightInd w:val="0"/>
        <w:ind w:left="0" w:firstLine="706"/>
        <w:jc w:val="both"/>
        <w:rPr>
          <w:sz w:val="24"/>
        </w:rPr>
      </w:pPr>
      <w:r w:rsidRPr="00CA4B04">
        <w:rPr>
          <w:sz w:val="24"/>
        </w:rPr>
        <w:t>Дело № 18-02/04-371</w:t>
      </w:r>
      <w:r w:rsidRPr="00CA4B04">
        <w:rPr>
          <w:rStyle w:val="iceouttxt"/>
          <w:sz w:val="24"/>
        </w:rPr>
        <w:t xml:space="preserve">. </w:t>
      </w:r>
      <w:r w:rsidRPr="00CA4B04">
        <w:rPr>
          <w:sz w:val="24"/>
        </w:rPr>
        <w:t xml:space="preserve">Заказчиком не представлено доказательств необходимости установления требований о наличии в определённых случаях конкретных веществ в составе </w:t>
      </w:r>
      <w:r w:rsidRPr="00CA4B04">
        <w:rPr>
          <w:color w:val="000000"/>
          <w:spacing w:val="-2"/>
          <w:sz w:val="24"/>
        </w:rPr>
        <w:t>дезинфицирующего</w:t>
      </w:r>
      <w:r w:rsidRPr="00CA4B04">
        <w:rPr>
          <w:sz w:val="24"/>
        </w:rPr>
        <w:t xml:space="preserve"> средства, а в других случаях</w:t>
      </w:r>
      <w:r w:rsidR="00EB4CC6" w:rsidRPr="00CA4B04">
        <w:rPr>
          <w:sz w:val="24"/>
        </w:rPr>
        <w:t>,</w:t>
      </w:r>
      <w:r w:rsidRPr="00CA4B04">
        <w:rPr>
          <w:sz w:val="24"/>
        </w:rPr>
        <w:t xml:space="preserve"> наоборот</w:t>
      </w:r>
      <w:r w:rsidR="00EB4CC6" w:rsidRPr="00CA4B04">
        <w:rPr>
          <w:sz w:val="24"/>
        </w:rPr>
        <w:t>,</w:t>
      </w:r>
      <w:r w:rsidRPr="00CA4B04">
        <w:rPr>
          <w:sz w:val="24"/>
        </w:rPr>
        <w:t xml:space="preserve"> необходимость отсутс</w:t>
      </w:r>
      <w:r w:rsidR="00EB4CC6" w:rsidRPr="00CA4B04">
        <w:rPr>
          <w:sz w:val="24"/>
        </w:rPr>
        <w:t>твия конкретных веществ. Также з</w:t>
      </w:r>
      <w:r w:rsidRPr="00CA4B04">
        <w:rPr>
          <w:sz w:val="24"/>
        </w:rPr>
        <w:t>аказчик не обосновал необходимость указания конкретного процентного содержания веществ в составе средства.</w:t>
      </w:r>
    </w:p>
    <w:p w:rsidR="005A36FC" w:rsidRPr="00CA4B04" w:rsidRDefault="005A36FC" w:rsidP="00B74ED4">
      <w:pPr>
        <w:autoSpaceDE w:val="0"/>
        <w:autoSpaceDN w:val="0"/>
        <w:adjustRightInd w:val="0"/>
        <w:ind w:firstLine="706"/>
        <w:jc w:val="both"/>
        <w:rPr>
          <w:sz w:val="24"/>
        </w:rPr>
      </w:pPr>
      <w:r w:rsidRPr="00CA4B04">
        <w:rPr>
          <w:sz w:val="24"/>
        </w:rPr>
        <w:t>Заказчику</w:t>
      </w:r>
      <w:r w:rsidRPr="00CA4B04">
        <w:rPr>
          <w:color w:val="000000" w:themeColor="text1"/>
          <w:sz w:val="24"/>
        </w:rPr>
        <w:t xml:space="preserve"> было выдано предписание </w:t>
      </w:r>
      <w:r w:rsidRPr="00CA4B04">
        <w:rPr>
          <w:spacing w:val="-2"/>
          <w:sz w:val="24"/>
        </w:rPr>
        <w:t>об устранении выявленных нарушений, которое</w:t>
      </w:r>
      <w:r w:rsidRPr="00CA4B04">
        <w:rPr>
          <w:color w:val="000000" w:themeColor="text1"/>
          <w:sz w:val="24"/>
        </w:rPr>
        <w:t xml:space="preserve"> было своевременно исполнено.</w:t>
      </w:r>
    </w:p>
    <w:p w:rsidR="005A36FC" w:rsidRPr="00CA4B04" w:rsidRDefault="005A36FC" w:rsidP="00B74ED4">
      <w:pPr>
        <w:autoSpaceDE w:val="0"/>
        <w:autoSpaceDN w:val="0"/>
        <w:adjustRightInd w:val="0"/>
        <w:ind w:firstLine="706"/>
        <w:jc w:val="both"/>
        <w:rPr>
          <w:bCs/>
          <w:sz w:val="24"/>
        </w:rPr>
      </w:pPr>
      <w:r w:rsidRPr="00CA4B04">
        <w:rPr>
          <w:sz w:val="24"/>
        </w:rPr>
        <w:t xml:space="preserve">Решение </w:t>
      </w:r>
      <w:r w:rsidR="00EB4CC6" w:rsidRPr="00CA4B04">
        <w:rPr>
          <w:sz w:val="24"/>
        </w:rPr>
        <w:t>и предписание были обжалованы и поддержаны судами</w:t>
      </w:r>
      <w:r w:rsidRPr="00CA4B04">
        <w:rPr>
          <w:sz w:val="24"/>
        </w:rPr>
        <w:t>.</w:t>
      </w:r>
    </w:p>
    <w:p w:rsidR="005A36FC" w:rsidRPr="00CA4B04" w:rsidRDefault="005A36FC" w:rsidP="00B74ED4">
      <w:pPr>
        <w:pStyle w:val="Default"/>
        <w:ind w:right="-86" w:firstLine="706"/>
        <w:jc w:val="both"/>
      </w:pPr>
      <w:r w:rsidRPr="00CA4B04">
        <w:rPr>
          <w:color w:val="auto"/>
        </w:rPr>
        <w:t xml:space="preserve">Решение по делу имеет прецедентное значение. </w:t>
      </w:r>
      <w:r w:rsidRPr="00CA4B04">
        <w:t xml:space="preserve">Ранее такой подход по закупкам </w:t>
      </w:r>
      <w:r w:rsidRPr="00CA4B04">
        <w:rPr>
          <w:spacing w:val="-2"/>
        </w:rPr>
        <w:t>дезинфицирующих сре</w:t>
      </w:r>
      <w:proofErr w:type="gramStart"/>
      <w:r w:rsidRPr="00CA4B04">
        <w:rPr>
          <w:spacing w:val="-2"/>
        </w:rPr>
        <w:t>дств в пр</w:t>
      </w:r>
      <w:proofErr w:type="gramEnd"/>
      <w:r w:rsidRPr="00CA4B04">
        <w:rPr>
          <w:spacing w:val="-2"/>
        </w:rPr>
        <w:t xml:space="preserve">актике антимонопольных органов не применялся и не </w:t>
      </w:r>
      <w:r w:rsidR="00EB4CC6" w:rsidRPr="00CA4B04">
        <w:rPr>
          <w:spacing w:val="-2"/>
        </w:rPr>
        <w:t>поддерживался</w:t>
      </w:r>
      <w:r w:rsidRPr="00CA4B04">
        <w:rPr>
          <w:spacing w:val="-2"/>
        </w:rPr>
        <w:t xml:space="preserve"> судами. </w:t>
      </w:r>
      <w:r w:rsidRPr="00CA4B04">
        <w:t xml:space="preserve">Обоснованность выводов УФАС была подтверждена, в том числе, мнением специалиста, обладающего специальными </w:t>
      </w:r>
      <w:r w:rsidRPr="00CA4B04">
        <w:rPr>
          <w:shd w:val="clear" w:color="auto" w:fill="FFFFFF"/>
        </w:rPr>
        <w:t>познаниями</w:t>
      </w:r>
      <w:r w:rsidRPr="00CA4B04">
        <w:t xml:space="preserve"> в области </w:t>
      </w:r>
      <w:proofErr w:type="spellStart"/>
      <w:r w:rsidRPr="00CA4B04">
        <w:t>дезинфектологии</w:t>
      </w:r>
      <w:proofErr w:type="spellEnd"/>
      <w:r w:rsidRPr="00CA4B04">
        <w:t>, который принимал участие при рассмотрении дела в суде.</w:t>
      </w:r>
    </w:p>
    <w:p w:rsidR="005A36FC" w:rsidRPr="00CA4B04" w:rsidRDefault="005A36FC" w:rsidP="00B74ED4">
      <w:pPr>
        <w:pStyle w:val="Default"/>
        <w:ind w:right="-86" w:firstLine="706"/>
        <w:jc w:val="both"/>
        <w:rPr>
          <w:spacing w:val="-2"/>
        </w:rPr>
      </w:pPr>
      <w:r w:rsidRPr="00CA4B04">
        <w:rPr>
          <w:spacing w:val="-2"/>
        </w:rPr>
        <w:t>Суде</w:t>
      </w:r>
      <w:r w:rsidR="00A21B91" w:rsidRPr="00CA4B04">
        <w:rPr>
          <w:spacing w:val="-2"/>
        </w:rPr>
        <w:t>бная практика на уровне кассационной инстанции</w:t>
      </w:r>
      <w:r w:rsidRPr="00CA4B04">
        <w:rPr>
          <w:spacing w:val="-2"/>
        </w:rPr>
        <w:t xml:space="preserve"> впервые в РФ</w:t>
      </w:r>
      <w:r w:rsidR="00A21B91" w:rsidRPr="00CA4B04">
        <w:rPr>
          <w:spacing w:val="-2"/>
        </w:rPr>
        <w:t xml:space="preserve"> </w:t>
      </w:r>
      <w:r w:rsidRPr="00CA4B04">
        <w:rPr>
          <w:spacing w:val="-2"/>
        </w:rPr>
        <w:t>закрепила следующие выводы:</w:t>
      </w:r>
    </w:p>
    <w:p w:rsidR="005A36FC" w:rsidRPr="00CA4B04" w:rsidRDefault="005A36FC" w:rsidP="00B74ED4">
      <w:pPr>
        <w:pStyle w:val="Default"/>
        <w:ind w:right="-86" w:firstLine="706"/>
        <w:jc w:val="both"/>
      </w:pPr>
      <w:r w:rsidRPr="00CA4B04">
        <w:t xml:space="preserve">- все дезинфицирующие средства, прошедшие государственную регистрацию, отвечают нормативно установленным требованиям к </w:t>
      </w:r>
      <w:r w:rsidR="00A21B91" w:rsidRPr="00CA4B04">
        <w:t xml:space="preserve">их </w:t>
      </w:r>
      <w:r w:rsidRPr="00CA4B04">
        <w:t>качеству и безопасности;</w:t>
      </w:r>
    </w:p>
    <w:p w:rsidR="005A36FC" w:rsidRPr="00CA4B04" w:rsidRDefault="005A36FC" w:rsidP="00B74ED4">
      <w:pPr>
        <w:pStyle w:val="Default"/>
        <w:ind w:right="-86" w:firstLine="706"/>
        <w:jc w:val="both"/>
      </w:pPr>
      <w:r w:rsidRPr="00CA4B04">
        <w:t>- при наличии указания области применения отсутствует необходимость указания конкретного рецепта дезинфицирующего средства;</w:t>
      </w:r>
    </w:p>
    <w:p w:rsidR="005A36FC" w:rsidRPr="00CA4B04" w:rsidRDefault="005A36FC" w:rsidP="00B74ED4">
      <w:pPr>
        <w:pStyle w:val="Default"/>
        <w:ind w:right="-86" w:firstLine="706"/>
        <w:jc w:val="both"/>
      </w:pPr>
      <w:r w:rsidRPr="00CA4B04">
        <w:t>- рецептуру конкретных дезинфицирующих средств определяет производитель, для которого наличие и процентное содержание того или иного вещества в составе дезинфицирующего средства во многом является маркетинговым ходом, позволяющим выделить свою продукцию среди подобных средств иных производителей;</w:t>
      </w:r>
    </w:p>
    <w:p w:rsidR="005A36FC" w:rsidRPr="00CA4B04" w:rsidRDefault="005A36FC" w:rsidP="00B74ED4">
      <w:pPr>
        <w:pStyle w:val="Default"/>
        <w:ind w:right="-86" w:firstLine="706"/>
        <w:jc w:val="both"/>
        <w:rPr>
          <w:spacing w:val="-2"/>
        </w:rPr>
      </w:pPr>
      <w:r w:rsidRPr="00CA4B04">
        <w:t>- включение в аукционную документацию описания рецептуры формирует узконаправленных поставщиков, что в свою очередь приводит к ограничению количества участников закупки.</w:t>
      </w:r>
    </w:p>
    <w:p w:rsidR="005A36FC" w:rsidRPr="00CA4B04" w:rsidRDefault="005A36FC" w:rsidP="00B74ED4">
      <w:pPr>
        <w:pStyle w:val="Default"/>
        <w:ind w:right="-86" w:firstLine="706"/>
        <w:jc w:val="both"/>
        <w:rPr>
          <w:spacing w:val="-2"/>
        </w:rPr>
      </w:pPr>
      <w:r w:rsidRPr="00CA4B04">
        <w:rPr>
          <w:color w:val="auto"/>
        </w:rPr>
        <w:t xml:space="preserve">2. </w:t>
      </w:r>
      <w:r w:rsidR="00E67B94" w:rsidRPr="00CA4B04">
        <w:rPr>
          <w:rFonts w:eastAsia="Calibri"/>
        </w:rPr>
        <w:t>Р</w:t>
      </w:r>
      <w:r w:rsidR="00E67B94" w:rsidRPr="00CA4B04">
        <w:t>ассмотрен</w:t>
      </w:r>
      <w:r w:rsidRPr="00CA4B04">
        <w:t xml:space="preserve">о 5 жалоб </w:t>
      </w:r>
      <w:r w:rsidR="00E67B94" w:rsidRPr="00CA4B04">
        <w:rPr>
          <w:rFonts w:eastAsia="Calibri"/>
        </w:rPr>
        <w:t>ФГУП</w:t>
      </w:r>
      <w:r w:rsidRPr="00CA4B04">
        <w:rPr>
          <w:rFonts w:eastAsia="Calibri"/>
        </w:rPr>
        <w:t xml:space="preserve"> «Управление ведомственной охраны Министерства транспорта Российской Федерации» в лице Северо-Кавказского филиала (далее – ФГУП «УВО Минтранса России»)</w:t>
      </w:r>
      <w:r w:rsidRPr="00CA4B04">
        <w:t xml:space="preserve"> на действия </w:t>
      </w:r>
      <w:r w:rsidRPr="00CA4B04">
        <w:rPr>
          <w:rFonts w:eastAsia="Calibri"/>
        </w:rPr>
        <w:t>ФБУ «Администрация «</w:t>
      </w:r>
      <w:proofErr w:type="gramStart"/>
      <w:r w:rsidRPr="00CA4B04">
        <w:rPr>
          <w:rFonts w:eastAsia="Calibri"/>
        </w:rPr>
        <w:t>Волго-Дон</w:t>
      </w:r>
      <w:proofErr w:type="gramEnd"/>
      <w:r w:rsidRPr="00CA4B04">
        <w:rPr>
          <w:rFonts w:eastAsia="Calibri"/>
        </w:rPr>
        <w:t>»</w:t>
      </w:r>
      <w:r w:rsidRPr="00CA4B04">
        <w:t xml:space="preserve"> при проведении 5 электронных аукционов на </w:t>
      </w:r>
      <w:r w:rsidRPr="00CA4B04">
        <w:rPr>
          <w:color w:val="auto"/>
          <w:shd w:val="clear" w:color="auto" w:fill="FFFFFF"/>
        </w:rPr>
        <w:t xml:space="preserve">оказание услуг по защите объектов транспортной </w:t>
      </w:r>
      <w:r w:rsidRPr="00CA4B04">
        <w:rPr>
          <w:color w:val="auto"/>
          <w:shd w:val="clear" w:color="auto" w:fill="FFFFFF"/>
        </w:rPr>
        <w:lastRenderedPageBreak/>
        <w:t xml:space="preserve">инфраструктуры от актов незаконного вмешательства. </w:t>
      </w:r>
      <w:r w:rsidRPr="00CA4B04">
        <w:rPr>
          <w:spacing w:val="-2"/>
        </w:rPr>
        <w:t xml:space="preserve">Согласно доводам жалоб заказчик неправомерно выбрал способ определения поставщика, данная закупка, по его мнению, должна была быть осуществлена в форме закупки у единственного поставщика </w:t>
      </w:r>
      <w:r w:rsidR="00E67B94" w:rsidRPr="00CA4B04">
        <w:rPr>
          <w:spacing w:val="-2"/>
        </w:rPr>
        <w:t>-</w:t>
      </w:r>
      <w:r w:rsidRPr="00CA4B04">
        <w:rPr>
          <w:spacing w:val="-2"/>
        </w:rPr>
        <w:t xml:space="preserve"> только</w:t>
      </w:r>
      <w:r w:rsidR="00E67B94" w:rsidRPr="00CA4B04">
        <w:rPr>
          <w:spacing w:val="-2"/>
        </w:rPr>
        <w:t xml:space="preserve"> у ФГУП «УВО Минтранса России».</w:t>
      </w:r>
    </w:p>
    <w:p w:rsidR="005A36FC" w:rsidRPr="00CA4B04" w:rsidRDefault="005A36FC" w:rsidP="00B74ED4">
      <w:pPr>
        <w:pStyle w:val="ConsPlusNormal"/>
        <w:ind w:firstLine="706"/>
        <w:jc w:val="both"/>
        <w:rPr>
          <w:rFonts w:ascii="Times New Roman" w:hAnsi="Times New Roman" w:cs="Times New Roman"/>
          <w:spacing w:val="-2"/>
          <w:sz w:val="24"/>
          <w:szCs w:val="24"/>
        </w:rPr>
      </w:pPr>
      <w:r w:rsidRPr="00CA4B04">
        <w:rPr>
          <w:rFonts w:ascii="Times New Roman" w:hAnsi="Times New Roman" w:cs="Times New Roman"/>
          <w:spacing w:val="-2"/>
          <w:sz w:val="24"/>
          <w:szCs w:val="24"/>
        </w:rPr>
        <w:t>Жалобы ФГУП «УВО Минтранса России» признаны необоснованными.</w:t>
      </w:r>
    </w:p>
    <w:p w:rsidR="005A36FC" w:rsidRPr="00CA4B04" w:rsidRDefault="005A36FC" w:rsidP="00B74ED4">
      <w:pPr>
        <w:pStyle w:val="ConsPlusNormal"/>
        <w:ind w:firstLine="706"/>
        <w:jc w:val="both"/>
        <w:rPr>
          <w:rFonts w:ascii="Times New Roman" w:hAnsi="Times New Roman" w:cs="Times New Roman"/>
          <w:sz w:val="24"/>
          <w:szCs w:val="24"/>
        </w:rPr>
      </w:pPr>
      <w:r w:rsidRPr="00CA4B04">
        <w:rPr>
          <w:rFonts w:ascii="Times New Roman" w:hAnsi="Times New Roman" w:cs="Times New Roman"/>
          <w:spacing w:val="-2"/>
          <w:sz w:val="24"/>
          <w:szCs w:val="24"/>
        </w:rPr>
        <w:t xml:space="preserve">Не согласившись с принятыми решениями ФГУП «УВО Минтранса России» обжаловало в суде не только принятые </w:t>
      </w:r>
      <w:r w:rsidR="00E67B94" w:rsidRPr="00CA4B04">
        <w:rPr>
          <w:rFonts w:ascii="Times New Roman" w:eastAsia="Calibri" w:hAnsi="Times New Roman" w:cs="Times New Roman"/>
          <w:sz w:val="24"/>
          <w:szCs w:val="24"/>
        </w:rPr>
        <w:t>УФАС</w:t>
      </w:r>
      <w:r w:rsidR="00E67B94" w:rsidRPr="00CA4B04">
        <w:rPr>
          <w:rFonts w:ascii="Times New Roman" w:hAnsi="Times New Roman" w:cs="Times New Roman"/>
          <w:spacing w:val="-2"/>
          <w:sz w:val="24"/>
          <w:szCs w:val="24"/>
        </w:rPr>
        <w:t xml:space="preserve"> </w:t>
      </w:r>
      <w:r w:rsidRPr="00CA4B04">
        <w:rPr>
          <w:rFonts w:ascii="Times New Roman" w:hAnsi="Times New Roman" w:cs="Times New Roman"/>
          <w:spacing w:val="-2"/>
          <w:sz w:val="24"/>
          <w:szCs w:val="24"/>
        </w:rPr>
        <w:t>решения</w:t>
      </w:r>
      <w:r w:rsidRPr="00CA4B04">
        <w:rPr>
          <w:rFonts w:ascii="Times New Roman" w:hAnsi="Times New Roman" w:cs="Times New Roman"/>
          <w:sz w:val="24"/>
          <w:szCs w:val="24"/>
        </w:rPr>
        <w:t xml:space="preserve">, но и действия </w:t>
      </w:r>
      <w:r w:rsidRPr="00CA4B04">
        <w:rPr>
          <w:rFonts w:ascii="Times New Roman" w:eastAsia="Calibri" w:hAnsi="Times New Roman" w:cs="Times New Roman"/>
          <w:sz w:val="24"/>
          <w:szCs w:val="24"/>
        </w:rPr>
        <w:t>ФБУ «Администрация «</w:t>
      </w:r>
      <w:proofErr w:type="gramStart"/>
      <w:r w:rsidRPr="00CA4B04">
        <w:rPr>
          <w:rFonts w:ascii="Times New Roman" w:eastAsia="Calibri" w:hAnsi="Times New Roman" w:cs="Times New Roman"/>
          <w:sz w:val="24"/>
          <w:szCs w:val="24"/>
        </w:rPr>
        <w:t>Волго-Дон</w:t>
      </w:r>
      <w:proofErr w:type="gramEnd"/>
      <w:r w:rsidRPr="00CA4B04">
        <w:rPr>
          <w:rFonts w:ascii="Times New Roman" w:eastAsia="Calibri" w:hAnsi="Times New Roman" w:cs="Times New Roman"/>
          <w:sz w:val="24"/>
          <w:szCs w:val="24"/>
        </w:rPr>
        <w:t>»</w:t>
      </w:r>
      <w:r w:rsidRPr="00CA4B04">
        <w:rPr>
          <w:rFonts w:ascii="Times New Roman" w:hAnsi="Times New Roman" w:cs="Times New Roman"/>
          <w:spacing w:val="-2"/>
          <w:sz w:val="24"/>
          <w:szCs w:val="24"/>
        </w:rPr>
        <w:t>.</w:t>
      </w:r>
    </w:p>
    <w:p w:rsidR="005A36FC" w:rsidRPr="00CA4B04" w:rsidRDefault="005A36FC" w:rsidP="00B74ED4">
      <w:pPr>
        <w:pStyle w:val="ConsPlusNormal"/>
        <w:ind w:firstLine="706"/>
        <w:jc w:val="both"/>
        <w:rPr>
          <w:rFonts w:ascii="Times New Roman" w:hAnsi="Times New Roman" w:cs="Times New Roman"/>
          <w:sz w:val="24"/>
          <w:szCs w:val="24"/>
        </w:rPr>
      </w:pPr>
      <w:proofErr w:type="gramStart"/>
      <w:r w:rsidRPr="00CA4B04">
        <w:rPr>
          <w:rFonts w:ascii="Times New Roman" w:hAnsi="Times New Roman" w:cs="Times New Roman"/>
          <w:sz w:val="24"/>
          <w:szCs w:val="24"/>
        </w:rPr>
        <w:t xml:space="preserve">Суды в удовлетворении заявленных требований отказали и по существу спора отметили, что </w:t>
      </w:r>
      <w:r w:rsidRPr="00CA4B04">
        <w:rPr>
          <w:rFonts w:ascii="Times New Roman" w:hAnsi="Times New Roman" w:cs="Times New Roman"/>
          <w:sz w:val="24"/>
          <w:szCs w:val="24"/>
          <w:shd w:val="clear" w:color="auto" w:fill="FFFFFF"/>
        </w:rPr>
        <w:t xml:space="preserve">ссылка истца на то, что подлежащие защите объекты включены в Перечень охраняемых объектов подразделениями </w:t>
      </w:r>
      <w:r w:rsidR="00E67B94" w:rsidRPr="00CA4B04">
        <w:rPr>
          <w:rFonts w:ascii="Times New Roman" w:hAnsi="Times New Roman" w:cs="Times New Roman"/>
          <w:sz w:val="24"/>
          <w:szCs w:val="24"/>
          <w:shd w:val="clear" w:color="auto" w:fill="FFFFFF"/>
        </w:rPr>
        <w:t>ФГУП</w:t>
      </w:r>
      <w:r w:rsidRPr="00CA4B04">
        <w:rPr>
          <w:rFonts w:ascii="Times New Roman" w:hAnsi="Times New Roman" w:cs="Times New Roman"/>
          <w:sz w:val="24"/>
          <w:szCs w:val="24"/>
          <w:shd w:val="clear" w:color="auto" w:fill="FFFFFF"/>
        </w:rPr>
        <w:t xml:space="preserve"> «Управление ведомственной охраны Министерства транспорта Российской Федерации», утвержденный приказом Минтранса России от 03.08.2016 № 222, не подтверждает исключительных полномочий истца на защиту объекта и право заказчика осуществлять закупку без проведения торгов, а лишь указывает</w:t>
      </w:r>
      <w:proofErr w:type="gramEnd"/>
      <w:r w:rsidRPr="00CA4B04">
        <w:rPr>
          <w:rFonts w:ascii="Times New Roman" w:hAnsi="Times New Roman" w:cs="Times New Roman"/>
          <w:sz w:val="24"/>
          <w:szCs w:val="24"/>
          <w:shd w:val="clear" w:color="auto" w:fill="FFFFFF"/>
        </w:rPr>
        <w:t xml:space="preserve"> на возможность истца осуществлять такую защиту и принимать участие в аукционе</w:t>
      </w:r>
      <w:r w:rsidR="00E67B94" w:rsidRPr="00CA4B04">
        <w:rPr>
          <w:rFonts w:ascii="Times New Roman" w:hAnsi="Times New Roman" w:cs="Times New Roman"/>
          <w:sz w:val="24"/>
          <w:szCs w:val="24"/>
        </w:rPr>
        <w:t>.</w:t>
      </w:r>
    </w:p>
    <w:p w:rsidR="00D553BE" w:rsidRPr="00CA4B04" w:rsidRDefault="00D553BE" w:rsidP="00B74ED4">
      <w:pPr>
        <w:pStyle w:val="a3"/>
        <w:tabs>
          <w:tab w:val="left" w:pos="1120"/>
        </w:tabs>
        <w:ind w:right="23" w:firstLine="706"/>
        <w:contextualSpacing/>
        <w:jc w:val="both"/>
        <w:rPr>
          <w:sz w:val="24"/>
        </w:rPr>
      </w:pPr>
    </w:p>
    <w:p w:rsidR="00ED4AA2" w:rsidRPr="00CA4B04" w:rsidRDefault="00ED4AA2" w:rsidP="00B74ED4">
      <w:pPr>
        <w:pStyle w:val="a3"/>
        <w:tabs>
          <w:tab w:val="left" w:pos="1120"/>
        </w:tabs>
        <w:ind w:right="23" w:firstLine="706"/>
        <w:contextualSpacing/>
        <w:jc w:val="both"/>
        <w:rPr>
          <w:sz w:val="24"/>
        </w:rPr>
      </w:pPr>
    </w:p>
    <w:p w:rsidR="00C6776B" w:rsidRPr="00CA4B04" w:rsidRDefault="00C6776B" w:rsidP="00832919">
      <w:pPr>
        <w:jc w:val="center"/>
        <w:rPr>
          <w:rFonts w:eastAsia="Calibri"/>
          <w:b/>
          <w:color w:val="000000"/>
          <w:sz w:val="24"/>
          <w:u w:val="single"/>
          <w:lang w:eastAsia="en-US"/>
        </w:rPr>
      </w:pPr>
      <w:r w:rsidRPr="00CA4B04">
        <w:rPr>
          <w:rFonts w:eastAsia="Calibri"/>
          <w:b/>
          <w:color w:val="000000"/>
          <w:sz w:val="24"/>
          <w:u w:val="single"/>
          <w:lang w:eastAsia="en-US"/>
        </w:rPr>
        <w:t>Контроль недобросовестной конкуренции (НДК)</w:t>
      </w:r>
    </w:p>
    <w:p w:rsidR="00ED4AA2" w:rsidRPr="00CA4B04" w:rsidRDefault="00ED4AA2" w:rsidP="00B74ED4">
      <w:pPr>
        <w:tabs>
          <w:tab w:val="num" w:pos="0"/>
        </w:tabs>
        <w:autoSpaceDE w:val="0"/>
        <w:autoSpaceDN w:val="0"/>
        <w:adjustRightInd w:val="0"/>
        <w:ind w:firstLine="706"/>
        <w:jc w:val="both"/>
        <w:rPr>
          <w:rFonts w:eastAsiaTheme="minorHAnsi"/>
          <w:b/>
          <w:sz w:val="24"/>
          <w:lang w:eastAsia="en-US"/>
        </w:rPr>
      </w:pPr>
    </w:p>
    <w:p w:rsidR="00BD3963" w:rsidRPr="00CA4B04" w:rsidRDefault="00CA7F24" w:rsidP="00B74ED4">
      <w:pPr>
        <w:tabs>
          <w:tab w:val="num" w:pos="0"/>
        </w:tabs>
        <w:autoSpaceDE w:val="0"/>
        <w:autoSpaceDN w:val="0"/>
        <w:adjustRightInd w:val="0"/>
        <w:ind w:firstLine="706"/>
        <w:jc w:val="both"/>
        <w:rPr>
          <w:rFonts w:eastAsiaTheme="minorHAnsi"/>
          <w:sz w:val="24"/>
          <w:lang w:eastAsia="en-US"/>
        </w:rPr>
      </w:pPr>
      <w:r w:rsidRPr="00CA4B04">
        <w:rPr>
          <w:rFonts w:eastAsiaTheme="minorHAnsi"/>
          <w:sz w:val="24"/>
          <w:lang w:eastAsia="en-US"/>
        </w:rPr>
        <w:t xml:space="preserve">В 2019 году </w:t>
      </w:r>
      <w:r w:rsidR="005A36FC" w:rsidRPr="00CA4B04">
        <w:rPr>
          <w:rFonts w:eastAsiaTheme="minorHAnsi"/>
          <w:sz w:val="24"/>
          <w:lang w:eastAsia="en-US"/>
        </w:rPr>
        <w:t>У</w:t>
      </w:r>
      <w:r w:rsidR="00D46D68" w:rsidRPr="00CA4B04">
        <w:rPr>
          <w:rFonts w:eastAsiaTheme="minorHAnsi"/>
          <w:sz w:val="24"/>
          <w:lang w:eastAsia="en-US"/>
        </w:rPr>
        <w:t>ФАС</w:t>
      </w:r>
      <w:r w:rsidR="005A36FC" w:rsidRPr="00CA4B04">
        <w:rPr>
          <w:rFonts w:eastAsiaTheme="minorHAnsi"/>
          <w:sz w:val="24"/>
          <w:lang w:eastAsia="en-US"/>
        </w:rPr>
        <w:t xml:space="preserve"> продолжена практика пресечения актов недобросовестной конкуренции</w:t>
      </w:r>
      <w:r w:rsidRPr="00CA4B04">
        <w:rPr>
          <w:rFonts w:eastAsiaTheme="minorHAnsi"/>
          <w:sz w:val="24"/>
          <w:lang w:eastAsia="en-US"/>
        </w:rPr>
        <w:t xml:space="preserve">, выраженной в так называемой мимикрии частных компаний под государственные или широко известные компании благодаря </w:t>
      </w:r>
      <w:r w:rsidR="00BD3963" w:rsidRPr="00CA4B04">
        <w:rPr>
          <w:rFonts w:eastAsiaTheme="minorHAnsi"/>
          <w:sz w:val="24"/>
          <w:lang w:eastAsia="en-US"/>
        </w:rPr>
        <w:t xml:space="preserve">намеренному </w:t>
      </w:r>
      <w:r w:rsidRPr="00CA4B04">
        <w:rPr>
          <w:rFonts w:eastAsiaTheme="minorHAnsi"/>
          <w:sz w:val="24"/>
          <w:lang w:eastAsia="en-US"/>
        </w:rPr>
        <w:t xml:space="preserve">выбору и использованию специфического фирменного наименования. </w:t>
      </w:r>
      <w:r w:rsidR="00B74ED4" w:rsidRPr="00CA4B04">
        <w:rPr>
          <w:rFonts w:eastAsiaTheme="minorHAnsi"/>
          <w:sz w:val="24"/>
          <w:lang w:eastAsia="en-US"/>
        </w:rPr>
        <w:t>По заявлениям граждан-потребителей</w:t>
      </w:r>
      <w:r w:rsidR="00D0687C" w:rsidRPr="00CA4B04">
        <w:rPr>
          <w:rFonts w:eastAsiaTheme="minorHAnsi"/>
          <w:sz w:val="24"/>
          <w:lang w:eastAsia="en-US"/>
        </w:rPr>
        <w:t xml:space="preserve"> в 2019 году р</w:t>
      </w:r>
      <w:r w:rsidR="005A36FC" w:rsidRPr="00CA4B04">
        <w:rPr>
          <w:rFonts w:eastAsiaTheme="minorHAnsi"/>
          <w:sz w:val="24"/>
          <w:lang w:eastAsia="en-US"/>
        </w:rPr>
        <w:t>ассмотрено два таких дел</w:t>
      </w:r>
      <w:r w:rsidR="00BD3963" w:rsidRPr="00CA4B04">
        <w:rPr>
          <w:rFonts w:eastAsiaTheme="minorHAnsi"/>
          <w:sz w:val="24"/>
          <w:lang w:eastAsia="en-US"/>
        </w:rPr>
        <w:t>а</w:t>
      </w:r>
      <w:r w:rsidR="00D46D68" w:rsidRPr="00CA4B04">
        <w:rPr>
          <w:rFonts w:eastAsiaTheme="minorHAnsi"/>
          <w:sz w:val="24"/>
          <w:lang w:eastAsia="en-US"/>
        </w:rPr>
        <w:t>:</w:t>
      </w:r>
      <w:r w:rsidR="005A36FC" w:rsidRPr="00CA4B04">
        <w:rPr>
          <w:rFonts w:eastAsiaTheme="minorHAnsi"/>
          <w:sz w:val="24"/>
          <w:lang w:eastAsia="en-US"/>
        </w:rPr>
        <w:t xml:space="preserve"> в отношен</w:t>
      </w:r>
      <w:proofErr w:type="gramStart"/>
      <w:r w:rsidR="005A36FC" w:rsidRPr="00CA4B04">
        <w:rPr>
          <w:rFonts w:eastAsiaTheme="minorHAnsi"/>
          <w:sz w:val="24"/>
          <w:lang w:eastAsia="en-US"/>
        </w:rPr>
        <w:t xml:space="preserve">ии </w:t>
      </w:r>
      <w:r w:rsidR="00BD3963" w:rsidRPr="00CA4B04">
        <w:rPr>
          <w:rFonts w:eastAsiaTheme="minorHAnsi"/>
          <w:color w:val="000000"/>
          <w:sz w:val="24"/>
          <w:lang w:eastAsia="en-US"/>
        </w:rPr>
        <w:t>ООО</w:t>
      </w:r>
      <w:proofErr w:type="gramEnd"/>
      <w:r w:rsidR="00BD3963" w:rsidRPr="00CA4B04">
        <w:rPr>
          <w:rFonts w:eastAsiaTheme="minorHAnsi"/>
          <w:color w:val="000000"/>
          <w:sz w:val="24"/>
          <w:lang w:eastAsia="en-US"/>
        </w:rPr>
        <w:t xml:space="preserve"> «Энергонадзор» и </w:t>
      </w:r>
      <w:r w:rsidR="005A36FC" w:rsidRPr="00CA4B04">
        <w:rPr>
          <w:rFonts w:eastAsiaTheme="minorHAnsi"/>
          <w:color w:val="000000"/>
          <w:sz w:val="24"/>
          <w:lang w:eastAsia="en-US"/>
        </w:rPr>
        <w:t>ООО «</w:t>
      </w:r>
      <w:proofErr w:type="spellStart"/>
      <w:r w:rsidR="005A36FC" w:rsidRPr="00CA4B04">
        <w:rPr>
          <w:rFonts w:eastAsiaTheme="minorHAnsi"/>
          <w:color w:val="000000"/>
          <w:sz w:val="24"/>
          <w:lang w:eastAsia="en-US"/>
        </w:rPr>
        <w:t>Регионгаз</w:t>
      </w:r>
      <w:proofErr w:type="spellEnd"/>
      <w:r w:rsidR="005A36FC" w:rsidRPr="00CA4B04">
        <w:rPr>
          <w:rFonts w:eastAsiaTheme="minorHAnsi"/>
          <w:color w:val="000000"/>
          <w:sz w:val="24"/>
          <w:lang w:eastAsia="en-US"/>
        </w:rPr>
        <w:t xml:space="preserve"> Волгоград». </w:t>
      </w:r>
      <w:r w:rsidRPr="00CA4B04">
        <w:rPr>
          <w:rFonts w:eastAsiaTheme="minorHAnsi"/>
          <w:sz w:val="24"/>
          <w:lang w:eastAsia="en-US"/>
        </w:rPr>
        <w:t>Обе компании в ходе дела сменили свои названия.</w:t>
      </w:r>
    </w:p>
    <w:p w:rsidR="00CA7F24" w:rsidRPr="00CA4B04" w:rsidRDefault="00CA7F24" w:rsidP="00B74ED4">
      <w:pPr>
        <w:tabs>
          <w:tab w:val="num" w:pos="0"/>
        </w:tabs>
        <w:autoSpaceDE w:val="0"/>
        <w:autoSpaceDN w:val="0"/>
        <w:adjustRightInd w:val="0"/>
        <w:ind w:firstLine="706"/>
        <w:jc w:val="both"/>
        <w:rPr>
          <w:rFonts w:eastAsiaTheme="minorHAnsi"/>
          <w:color w:val="000000" w:themeColor="text1"/>
          <w:sz w:val="24"/>
          <w:lang w:eastAsia="en-US"/>
        </w:rPr>
      </w:pPr>
      <w:proofErr w:type="gramStart"/>
      <w:r w:rsidRPr="00CA4B04">
        <w:rPr>
          <w:rFonts w:eastAsiaTheme="minorHAnsi"/>
          <w:sz w:val="24"/>
          <w:lang w:eastAsia="en-US"/>
        </w:rPr>
        <w:t>Практика применения к подобным ситуациям норм</w:t>
      </w:r>
      <w:r w:rsidR="00BD3963" w:rsidRPr="00CA4B04">
        <w:rPr>
          <w:rFonts w:eastAsiaTheme="minorHAnsi"/>
          <w:sz w:val="24"/>
          <w:lang w:eastAsia="en-US"/>
        </w:rPr>
        <w:t xml:space="preserve"> о </w:t>
      </w:r>
      <w:r w:rsidRPr="00CA4B04">
        <w:rPr>
          <w:rFonts w:eastAsiaTheme="minorHAnsi"/>
          <w:sz w:val="24"/>
          <w:lang w:eastAsia="en-US"/>
        </w:rPr>
        <w:t>запрет</w:t>
      </w:r>
      <w:r w:rsidR="00BD3963" w:rsidRPr="00CA4B04">
        <w:rPr>
          <w:rFonts w:eastAsiaTheme="minorHAnsi"/>
          <w:sz w:val="24"/>
          <w:lang w:eastAsia="en-US"/>
        </w:rPr>
        <w:t>е</w:t>
      </w:r>
      <w:r w:rsidRPr="00CA4B04">
        <w:rPr>
          <w:rFonts w:eastAsiaTheme="minorHAnsi"/>
          <w:sz w:val="24"/>
          <w:lang w:eastAsia="en-US"/>
        </w:rPr>
        <w:t xml:space="preserve"> недобросовестной конкуренции</w:t>
      </w:r>
      <w:r w:rsidR="005A36FC" w:rsidRPr="00CA4B04">
        <w:rPr>
          <w:rFonts w:eastAsiaTheme="minorHAnsi"/>
          <w:sz w:val="24"/>
          <w:lang w:eastAsia="en-US"/>
        </w:rPr>
        <w:t>,</w:t>
      </w:r>
      <w:r w:rsidRPr="00CA4B04">
        <w:rPr>
          <w:rFonts w:eastAsiaTheme="minorHAnsi"/>
          <w:sz w:val="24"/>
          <w:lang w:eastAsia="en-US"/>
        </w:rPr>
        <w:t xml:space="preserve"> связанной с приобретением и использование средств индивидуализации (ч. 1. ст.14.4.</w:t>
      </w:r>
      <w:proofErr w:type="gramEnd"/>
      <w:r w:rsidRPr="00CA4B04">
        <w:rPr>
          <w:rFonts w:eastAsiaTheme="minorHAnsi"/>
          <w:sz w:val="24"/>
          <w:lang w:eastAsia="en-US"/>
        </w:rPr>
        <w:t xml:space="preserve"> </w:t>
      </w:r>
      <w:proofErr w:type="gramStart"/>
      <w:r w:rsidRPr="00CA4B04">
        <w:rPr>
          <w:rFonts w:eastAsiaTheme="minorHAnsi"/>
          <w:sz w:val="24"/>
          <w:lang w:eastAsia="en-US"/>
        </w:rPr>
        <w:t>Закона о защите конкуренции)</w:t>
      </w:r>
      <w:r w:rsidR="00451ED6" w:rsidRPr="00CA4B04">
        <w:rPr>
          <w:rFonts w:eastAsiaTheme="minorHAnsi"/>
          <w:sz w:val="24"/>
          <w:lang w:eastAsia="en-US"/>
        </w:rPr>
        <w:t>,</w:t>
      </w:r>
      <w:r w:rsidRPr="00CA4B04">
        <w:rPr>
          <w:rFonts w:eastAsiaTheme="minorHAnsi"/>
          <w:sz w:val="24"/>
          <w:lang w:eastAsia="en-US"/>
        </w:rPr>
        <w:t xml:space="preserve"> впервые была сформирована именно УФАС ранее (2017-2018 годы).</w:t>
      </w:r>
      <w:proofErr w:type="gramEnd"/>
      <w:r w:rsidRPr="00CA4B04">
        <w:rPr>
          <w:rFonts w:eastAsiaTheme="minorHAnsi"/>
          <w:sz w:val="24"/>
          <w:lang w:eastAsia="en-US"/>
        </w:rPr>
        <w:t xml:space="preserve"> </w:t>
      </w:r>
      <w:r w:rsidR="005A36FC" w:rsidRPr="00CA4B04">
        <w:rPr>
          <w:rFonts w:eastAsiaTheme="minorHAnsi"/>
          <w:color w:val="000000"/>
          <w:sz w:val="24"/>
          <w:lang w:eastAsia="en-US"/>
        </w:rPr>
        <w:t>Из нашей практики последних лет можно сделать вывод о довольно массовом распространении</w:t>
      </w:r>
      <w:r w:rsidR="005A36FC" w:rsidRPr="00CA4B04">
        <w:rPr>
          <w:rFonts w:eastAsiaTheme="minorHAnsi"/>
          <w:sz w:val="24"/>
          <w:lang w:eastAsia="en-US"/>
        </w:rPr>
        <w:t xml:space="preserve"> </w:t>
      </w:r>
      <w:r w:rsidR="005A36FC" w:rsidRPr="00CA4B04">
        <w:rPr>
          <w:rFonts w:eastAsiaTheme="minorHAnsi"/>
          <w:color w:val="000000"/>
          <w:sz w:val="24"/>
          <w:lang w:eastAsia="en-US"/>
        </w:rPr>
        <w:t xml:space="preserve">указанной формы недобросовестной конкуренции. </w:t>
      </w:r>
      <w:r w:rsidR="00BD3963" w:rsidRPr="00CA4B04">
        <w:rPr>
          <w:rFonts w:eastAsiaTheme="minorHAnsi"/>
          <w:color w:val="000000"/>
          <w:sz w:val="24"/>
          <w:lang w:eastAsia="en-US"/>
        </w:rPr>
        <w:t>З</w:t>
      </w:r>
      <w:r w:rsidR="005A36FC" w:rsidRPr="00CA4B04">
        <w:rPr>
          <w:rFonts w:eastAsiaTheme="minorHAnsi"/>
          <w:color w:val="000000"/>
          <w:sz w:val="24"/>
          <w:lang w:eastAsia="en-US"/>
        </w:rPr>
        <w:t>а два с половиной года У</w:t>
      </w:r>
      <w:r w:rsidR="00451ED6" w:rsidRPr="00CA4B04">
        <w:rPr>
          <w:rFonts w:eastAsiaTheme="minorHAnsi"/>
          <w:color w:val="000000"/>
          <w:sz w:val="24"/>
          <w:lang w:eastAsia="en-US"/>
        </w:rPr>
        <w:t>ФАС</w:t>
      </w:r>
      <w:r w:rsidR="005A36FC" w:rsidRPr="00CA4B04">
        <w:rPr>
          <w:rFonts w:eastAsiaTheme="minorHAnsi"/>
          <w:color w:val="000000"/>
          <w:sz w:val="24"/>
          <w:lang w:eastAsia="en-US"/>
        </w:rPr>
        <w:t xml:space="preserve"> рассмотрено 10 дел данного рода. Исключением не стал и 2019 год. </w:t>
      </w:r>
      <w:r w:rsidR="00BD3963" w:rsidRPr="00CA4B04">
        <w:rPr>
          <w:rFonts w:eastAsiaTheme="minorHAnsi"/>
          <w:color w:val="000000"/>
          <w:sz w:val="24"/>
          <w:lang w:eastAsia="en-US"/>
        </w:rPr>
        <w:t xml:space="preserve">Важно, что </w:t>
      </w:r>
      <w:r w:rsidR="00BD3963" w:rsidRPr="00CA4B04">
        <w:rPr>
          <w:rFonts w:eastAsiaTheme="minorHAnsi"/>
          <w:color w:val="000000" w:themeColor="text1"/>
          <w:sz w:val="24"/>
          <w:lang w:eastAsia="en-US"/>
        </w:rPr>
        <w:t>в</w:t>
      </w:r>
      <w:r w:rsidRPr="00CA4B04">
        <w:rPr>
          <w:rFonts w:eastAsiaTheme="minorHAnsi"/>
          <w:color w:val="000000" w:themeColor="text1"/>
          <w:sz w:val="24"/>
          <w:lang w:eastAsia="en-US"/>
        </w:rPr>
        <w:t xml:space="preserve"> </w:t>
      </w:r>
      <w:r w:rsidR="005A36FC" w:rsidRPr="00CA4B04">
        <w:rPr>
          <w:rFonts w:eastAsiaTheme="minorHAnsi"/>
          <w:color w:val="000000" w:themeColor="text1"/>
          <w:sz w:val="24"/>
          <w:lang w:eastAsia="en-US"/>
        </w:rPr>
        <w:t>этом</w:t>
      </w:r>
      <w:r w:rsidRPr="00CA4B04">
        <w:rPr>
          <w:rFonts w:eastAsiaTheme="minorHAnsi"/>
          <w:color w:val="000000" w:themeColor="text1"/>
          <w:sz w:val="24"/>
          <w:lang w:eastAsia="en-US"/>
        </w:rPr>
        <w:t xml:space="preserve"> году </w:t>
      </w:r>
      <w:r w:rsidR="005A36FC" w:rsidRPr="00CA4B04">
        <w:rPr>
          <w:rFonts w:eastAsiaTheme="minorHAnsi"/>
          <w:color w:val="000000" w:themeColor="text1"/>
          <w:sz w:val="24"/>
          <w:lang w:eastAsia="en-US"/>
        </w:rPr>
        <w:t>с</w:t>
      </w:r>
      <w:r w:rsidRPr="00CA4B04">
        <w:rPr>
          <w:rFonts w:eastAsiaTheme="minorHAnsi"/>
          <w:color w:val="000000" w:themeColor="text1"/>
          <w:sz w:val="24"/>
          <w:lang w:eastAsia="en-US"/>
        </w:rPr>
        <w:t>удами на самом высоком уровне</w:t>
      </w:r>
      <w:r w:rsidR="005A36FC" w:rsidRPr="00CA4B04">
        <w:rPr>
          <w:rFonts w:eastAsiaTheme="minorHAnsi"/>
          <w:color w:val="000000" w:themeColor="text1"/>
          <w:sz w:val="24"/>
          <w:lang w:eastAsia="en-US"/>
        </w:rPr>
        <w:t xml:space="preserve"> </w:t>
      </w:r>
      <w:r w:rsidR="00BD3963" w:rsidRPr="00CA4B04">
        <w:rPr>
          <w:rFonts w:eastAsiaTheme="minorHAnsi"/>
          <w:color w:val="000000" w:themeColor="text1"/>
          <w:sz w:val="24"/>
          <w:lang w:eastAsia="en-US"/>
        </w:rPr>
        <w:t xml:space="preserve">впервые </w:t>
      </w:r>
      <w:r w:rsidR="005A36FC" w:rsidRPr="00CA4B04">
        <w:rPr>
          <w:rFonts w:eastAsiaTheme="minorHAnsi"/>
          <w:color w:val="000000" w:themeColor="text1"/>
          <w:sz w:val="24"/>
          <w:lang w:eastAsia="en-US"/>
        </w:rPr>
        <w:t>подтверждена правомерность наших подходов</w:t>
      </w:r>
      <w:r w:rsidRPr="00CA4B04">
        <w:rPr>
          <w:rFonts w:eastAsiaTheme="minorHAnsi"/>
          <w:color w:val="000000" w:themeColor="text1"/>
          <w:sz w:val="24"/>
          <w:lang w:eastAsia="en-US"/>
        </w:rPr>
        <w:t xml:space="preserve">. </w:t>
      </w:r>
      <w:r w:rsidR="00BD3963" w:rsidRPr="00CA4B04">
        <w:rPr>
          <w:rFonts w:eastAsiaTheme="minorHAnsi"/>
          <w:color w:val="000000" w:themeColor="text1"/>
          <w:sz w:val="24"/>
          <w:lang w:eastAsia="en-US"/>
        </w:rPr>
        <w:t xml:space="preserve">Так, </w:t>
      </w:r>
      <w:r w:rsidR="005A36FC" w:rsidRPr="00CA4B04">
        <w:rPr>
          <w:rFonts w:eastAsiaTheme="minorHAnsi"/>
          <w:color w:val="000000" w:themeColor="text1"/>
          <w:sz w:val="24"/>
          <w:lang w:eastAsia="en-US"/>
        </w:rPr>
        <w:t>Суд по интеллектуальным правам признал законными и обоснованными решения УФАС, вынесенные в отношен</w:t>
      </w:r>
      <w:proofErr w:type="gramStart"/>
      <w:r w:rsidR="005A36FC" w:rsidRPr="00CA4B04">
        <w:rPr>
          <w:rFonts w:eastAsiaTheme="minorHAnsi"/>
          <w:color w:val="000000" w:themeColor="text1"/>
          <w:sz w:val="24"/>
          <w:lang w:eastAsia="en-US"/>
        </w:rPr>
        <w:t>ии ООО</w:t>
      </w:r>
      <w:proofErr w:type="gramEnd"/>
      <w:r w:rsidR="005A36FC" w:rsidRPr="00CA4B04">
        <w:rPr>
          <w:rFonts w:eastAsiaTheme="minorHAnsi"/>
          <w:color w:val="000000" w:themeColor="text1"/>
          <w:sz w:val="24"/>
          <w:lang w:eastAsia="en-US"/>
        </w:rPr>
        <w:t xml:space="preserve"> «БТИ-1» и ООО «Михайловская муниципальная управляющая компания» (судебные дела № А12-34717/2018 и </w:t>
      </w:r>
      <w:r w:rsidR="00451ED6" w:rsidRPr="00CA4B04">
        <w:rPr>
          <w:rFonts w:eastAsiaTheme="minorHAnsi"/>
          <w:color w:val="000000" w:themeColor="text1"/>
          <w:sz w:val="24"/>
          <w:lang w:eastAsia="en-US"/>
        </w:rPr>
        <w:t xml:space="preserve">№ </w:t>
      </w:r>
      <w:r w:rsidR="005A36FC" w:rsidRPr="00CA4B04">
        <w:rPr>
          <w:rFonts w:eastAsiaTheme="minorHAnsi"/>
          <w:color w:val="000000" w:themeColor="text1"/>
          <w:sz w:val="24"/>
          <w:lang w:eastAsia="en-US"/>
        </w:rPr>
        <w:t>А12-5301/2019).</w:t>
      </w:r>
    </w:p>
    <w:p w:rsidR="00D540ED" w:rsidRPr="00CA4B04" w:rsidRDefault="00D540ED" w:rsidP="00B74ED4">
      <w:pPr>
        <w:tabs>
          <w:tab w:val="num" w:pos="0"/>
        </w:tabs>
        <w:autoSpaceDE w:val="0"/>
        <w:autoSpaceDN w:val="0"/>
        <w:adjustRightInd w:val="0"/>
        <w:ind w:firstLine="706"/>
        <w:jc w:val="both"/>
        <w:rPr>
          <w:color w:val="000000" w:themeColor="text1"/>
          <w:sz w:val="24"/>
        </w:rPr>
      </w:pPr>
      <w:r w:rsidRPr="00CA4B04">
        <w:rPr>
          <w:color w:val="000000" w:themeColor="text1"/>
          <w:sz w:val="24"/>
        </w:rPr>
        <w:t xml:space="preserve">Количество дел по НДК </w:t>
      </w:r>
      <w:r w:rsidR="00D0687C" w:rsidRPr="00CA4B04">
        <w:rPr>
          <w:color w:val="000000" w:themeColor="text1"/>
          <w:sz w:val="24"/>
        </w:rPr>
        <w:t xml:space="preserve">последние годы </w:t>
      </w:r>
      <w:r w:rsidR="00451ED6" w:rsidRPr="00CA4B04">
        <w:rPr>
          <w:color w:val="000000" w:themeColor="text1"/>
          <w:sz w:val="24"/>
        </w:rPr>
        <w:t>снизилось за счё</w:t>
      </w:r>
      <w:r w:rsidRPr="00CA4B04">
        <w:rPr>
          <w:color w:val="000000" w:themeColor="text1"/>
          <w:sz w:val="24"/>
        </w:rPr>
        <w:t>т</w:t>
      </w:r>
      <w:r w:rsidR="00451ED6" w:rsidRPr="00CA4B04">
        <w:rPr>
          <w:color w:val="000000" w:themeColor="text1"/>
          <w:sz w:val="24"/>
        </w:rPr>
        <w:t xml:space="preserve"> работы института предупреждения</w:t>
      </w:r>
      <w:r w:rsidRPr="00CA4B04">
        <w:rPr>
          <w:color w:val="000000" w:themeColor="text1"/>
          <w:sz w:val="24"/>
        </w:rPr>
        <w:t xml:space="preserve">. В 2019 выдано 12 предупреждений, из которых 11 </w:t>
      </w:r>
      <w:proofErr w:type="gramStart"/>
      <w:r w:rsidRPr="00CA4B04">
        <w:rPr>
          <w:color w:val="000000" w:themeColor="text1"/>
          <w:sz w:val="24"/>
        </w:rPr>
        <w:t>исполнены</w:t>
      </w:r>
      <w:proofErr w:type="gramEnd"/>
      <w:r w:rsidRPr="00CA4B04">
        <w:rPr>
          <w:color w:val="000000" w:themeColor="text1"/>
          <w:sz w:val="24"/>
        </w:rPr>
        <w:t>.</w:t>
      </w:r>
    </w:p>
    <w:p w:rsidR="00D540ED" w:rsidRPr="00CA4B04" w:rsidRDefault="00D540ED" w:rsidP="00B74ED4">
      <w:pPr>
        <w:tabs>
          <w:tab w:val="num" w:pos="0"/>
        </w:tabs>
        <w:autoSpaceDE w:val="0"/>
        <w:autoSpaceDN w:val="0"/>
        <w:adjustRightInd w:val="0"/>
        <w:ind w:firstLine="706"/>
        <w:jc w:val="both"/>
        <w:rPr>
          <w:color w:val="000000" w:themeColor="text1"/>
          <w:sz w:val="24"/>
        </w:rPr>
      </w:pPr>
      <w:r w:rsidRPr="00CA4B04">
        <w:rPr>
          <w:color w:val="000000" w:themeColor="text1"/>
          <w:sz w:val="24"/>
        </w:rPr>
        <w:t>Среди наиболее интересных пред</w:t>
      </w:r>
      <w:r w:rsidR="003F2974" w:rsidRPr="00CA4B04">
        <w:rPr>
          <w:color w:val="000000" w:themeColor="text1"/>
          <w:sz w:val="24"/>
        </w:rPr>
        <w:t xml:space="preserve">упреждений по НДК можно отметить </w:t>
      </w:r>
      <w:proofErr w:type="gramStart"/>
      <w:r w:rsidR="00451ED6" w:rsidRPr="00CA4B04">
        <w:rPr>
          <w:color w:val="000000" w:themeColor="text1"/>
          <w:sz w:val="24"/>
        </w:rPr>
        <w:t>следующие</w:t>
      </w:r>
      <w:proofErr w:type="gramEnd"/>
      <w:r w:rsidRPr="00CA4B04">
        <w:rPr>
          <w:color w:val="000000" w:themeColor="text1"/>
          <w:sz w:val="24"/>
        </w:rPr>
        <w:t>:</w:t>
      </w:r>
    </w:p>
    <w:p w:rsidR="00D540ED" w:rsidRPr="00CA4B04" w:rsidRDefault="00D540ED" w:rsidP="00B74ED4">
      <w:pPr>
        <w:tabs>
          <w:tab w:val="num" w:pos="0"/>
        </w:tabs>
        <w:autoSpaceDE w:val="0"/>
        <w:autoSpaceDN w:val="0"/>
        <w:adjustRightInd w:val="0"/>
        <w:ind w:firstLine="706"/>
        <w:jc w:val="both"/>
        <w:rPr>
          <w:rFonts w:eastAsia="MS PGothic"/>
          <w:color w:val="000000" w:themeColor="text1"/>
          <w:sz w:val="24"/>
        </w:rPr>
      </w:pPr>
      <w:r w:rsidRPr="00CA4B04">
        <w:rPr>
          <w:color w:val="000000" w:themeColor="text1"/>
          <w:sz w:val="24"/>
        </w:rPr>
        <w:t xml:space="preserve">- </w:t>
      </w:r>
      <w:r w:rsidRPr="00CA4B04">
        <w:rPr>
          <w:rFonts w:eastAsia="MS PGothic"/>
          <w:bCs/>
          <w:color w:val="000000" w:themeColor="text1"/>
          <w:sz w:val="24"/>
        </w:rPr>
        <w:t xml:space="preserve">ООО «Альфа кредит» </w:t>
      </w:r>
      <w:r w:rsidRPr="00CA4B04">
        <w:rPr>
          <w:rFonts w:eastAsia="MS PGothic"/>
          <w:color w:val="000000" w:themeColor="text1"/>
          <w:sz w:val="24"/>
        </w:rPr>
        <w:t xml:space="preserve">(финансовый брокер) </w:t>
      </w:r>
      <w:r w:rsidR="003F2974" w:rsidRPr="00CA4B04">
        <w:rPr>
          <w:rFonts w:eastAsia="MS PGothic"/>
          <w:color w:val="000000" w:themeColor="text1"/>
          <w:sz w:val="24"/>
        </w:rPr>
        <w:t>-</w:t>
      </w:r>
      <w:r w:rsidRPr="00CA4B04">
        <w:rPr>
          <w:rFonts w:eastAsia="MS PGothic"/>
          <w:color w:val="000000" w:themeColor="text1"/>
          <w:sz w:val="24"/>
        </w:rPr>
        <w:t xml:space="preserve"> введение в заблуждение потребителей относительно вида деятельности организации, а также относительно её принадлежности к структурам АО «Альфа-Банк»;</w:t>
      </w:r>
    </w:p>
    <w:p w:rsidR="00CA7F24" w:rsidRPr="00CA4B04" w:rsidRDefault="00D540ED" w:rsidP="00B74ED4">
      <w:pPr>
        <w:ind w:firstLine="706"/>
        <w:jc w:val="both"/>
        <w:rPr>
          <w:rFonts w:eastAsiaTheme="minorHAnsi"/>
          <w:sz w:val="24"/>
          <w:lang w:eastAsia="en-US"/>
        </w:rPr>
      </w:pPr>
      <w:r w:rsidRPr="00CA4B04">
        <w:rPr>
          <w:rFonts w:eastAsia="MS PGothic"/>
          <w:color w:val="000000" w:themeColor="text1"/>
          <w:sz w:val="24"/>
        </w:rPr>
        <w:t xml:space="preserve">- компании </w:t>
      </w:r>
      <w:r w:rsidR="00730885" w:rsidRPr="00CA4B04">
        <w:rPr>
          <w:rFonts w:eastAsiaTheme="minorHAnsi"/>
          <w:sz w:val="24"/>
          <w:lang w:eastAsia="en-US"/>
        </w:rPr>
        <w:t>сети магазинов «</w:t>
      </w:r>
      <w:proofErr w:type="spellStart"/>
      <w:r w:rsidR="00730885" w:rsidRPr="00CA4B04">
        <w:rPr>
          <w:rFonts w:eastAsiaTheme="minorHAnsi"/>
          <w:sz w:val="24"/>
          <w:lang w:eastAsia="en-US"/>
        </w:rPr>
        <w:t>Sunlight</w:t>
      </w:r>
      <w:proofErr w:type="spellEnd"/>
      <w:r w:rsidR="00730885" w:rsidRPr="00CA4B04">
        <w:rPr>
          <w:rFonts w:eastAsiaTheme="minorHAnsi"/>
          <w:sz w:val="24"/>
          <w:lang w:eastAsia="en-US"/>
        </w:rPr>
        <w:t>» - введение потребителей в заблуждение относительно ликвидации магазинов данной сети;</w:t>
      </w:r>
    </w:p>
    <w:p w:rsidR="00730885" w:rsidRPr="00CA4B04" w:rsidRDefault="003F2974" w:rsidP="00B74ED4">
      <w:pPr>
        <w:pStyle w:val="ac"/>
        <w:kinsoku w:val="0"/>
        <w:overflowPunct w:val="0"/>
        <w:spacing w:before="0" w:beforeAutospacing="0" w:after="0" w:afterAutospacing="0"/>
        <w:ind w:firstLine="706"/>
        <w:jc w:val="both"/>
        <w:textAlignment w:val="baseline"/>
        <w:rPr>
          <w:rFonts w:eastAsia="MS PGothic"/>
          <w:bCs/>
          <w:color w:val="000000" w:themeColor="text1"/>
        </w:rPr>
      </w:pPr>
      <w:r w:rsidRPr="00CA4B04">
        <w:rPr>
          <w:rFonts w:eastAsia="MS PGothic"/>
          <w:bCs/>
          <w:color w:val="333399"/>
        </w:rPr>
        <w:t>-</w:t>
      </w:r>
      <w:r w:rsidR="00730885" w:rsidRPr="00CA4B04">
        <w:rPr>
          <w:rFonts w:eastAsia="MS PGothic"/>
          <w:bCs/>
          <w:color w:val="333399"/>
        </w:rPr>
        <w:t xml:space="preserve"> </w:t>
      </w:r>
      <w:r w:rsidR="00730885" w:rsidRPr="00CA4B04">
        <w:rPr>
          <w:rFonts w:eastAsia="MS PGothic"/>
          <w:bCs/>
          <w:color w:val="000000" w:themeColor="text1"/>
        </w:rPr>
        <w:t>АО «Альфа-банк»</w:t>
      </w:r>
      <w:r w:rsidRPr="00CA4B04">
        <w:rPr>
          <w:rFonts w:eastAsia="MS PGothic"/>
          <w:bCs/>
          <w:color w:val="000000" w:themeColor="text1"/>
        </w:rPr>
        <w:t xml:space="preserve"> - распространение </w:t>
      </w:r>
      <w:r w:rsidRPr="00CA4B04">
        <w:rPr>
          <w:rFonts w:eastAsia="MS PGothic"/>
          <w:color w:val="000000" w:themeColor="text1"/>
        </w:rPr>
        <w:t xml:space="preserve">недостоверной дискредитирующей информации о конкуренте </w:t>
      </w:r>
      <w:r w:rsidRPr="00CA4B04">
        <w:rPr>
          <w:rFonts w:eastAsia="MS PGothic"/>
          <w:bCs/>
          <w:color w:val="000000" w:themeColor="text1"/>
        </w:rPr>
        <w:t>АО КБ «</w:t>
      </w:r>
      <w:proofErr w:type="spellStart"/>
      <w:r w:rsidRPr="00CA4B04">
        <w:rPr>
          <w:rFonts w:eastAsia="MS PGothic"/>
          <w:bCs/>
          <w:color w:val="000000" w:themeColor="text1"/>
        </w:rPr>
        <w:t>Центр-инвест</w:t>
      </w:r>
      <w:proofErr w:type="spellEnd"/>
      <w:r w:rsidRPr="00CA4B04">
        <w:rPr>
          <w:rFonts w:eastAsia="MS PGothic"/>
          <w:bCs/>
          <w:color w:val="000000" w:themeColor="text1"/>
        </w:rPr>
        <w:t>» менеджером ст</w:t>
      </w:r>
      <w:r w:rsidR="00662AF4" w:rsidRPr="00CA4B04">
        <w:rPr>
          <w:rFonts w:eastAsia="MS PGothic"/>
          <w:bCs/>
          <w:color w:val="000000" w:themeColor="text1"/>
        </w:rPr>
        <w:t>руктурного подразделения Альфа-б</w:t>
      </w:r>
      <w:r w:rsidRPr="00CA4B04">
        <w:rPr>
          <w:rFonts w:eastAsia="MS PGothic"/>
          <w:bCs/>
          <w:color w:val="000000" w:themeColor="text1"/>
        </w:rPr>
        <w:t>анка</w:t>
      </w:r>
      <w:r w:rsidR="00A24451" w:rsidRPr="00CA4B04">
        <w:rPr>
          <w:rFonts w:eastAsia="MS PGothic"/>
          <w:bCs/>
          <w:color w:val="000000" w:themeColor="text1"/>
        </w:rPr>
        <w:t>;</w:t>
      </w:r>
    </w:p>
    <w:p w:rsidR="00A24451" w:rsidRPr="00CA4B04" w:rsidRDefault="00A24451" w:rsidP="00B74ED4">
      <w:pPr>
        <w:pStyle w:val="ac"/>
        <w:kinsoku w:val="0"/>
        <w:overflowPunct w:val="0"/>
        <w:spacing w:before="0" w:beforeAutospacing="0" w:after="0" w:afterAutospacing="0"/>
        <w:ind w:firstLine="706"/>
        <w:jc w:val="both"/>
        <w:textAlignment w:val="baseline"/>
        <w:rPr>
          <w:rFonts w:eastAsia="MS PGothic"/>
          <w:bCs/>
          <w:color w:val="333399"/>
        </w:rPr>
      </w:pPr>
      <w:r w:rsidRPr="00CA4B04">
        <w:rPr>
          <w:rFonts w:eastAsia="MS PGothic"/>
          <w:bCs/>
          <w:color w:val="000000" w:themeColor="text1"/>
        </w:rPr>
        <w:t>- оператор</w:t>
      </w:r>
      <w:r w:rsidR="00D0687C" w:rsidRPr="00CA4B04">
        <w:rPr>
          <w:rFonts w:eastAsia="MS PGothic"/>
          <w:bCs/>
          <w:color w:val="000000" w:themeColor="text1"/>
        </w:rPr>
        <w:t>ам</w:t>
      </w:r>
      <w:r w:rsidRPr="00CA4B04">
        <w:rPr>
          <w:rFonts w:eastAsia="MS PGothic"/>
          <w:bCs/>
          <w:color w:val="000000" w:themeColor="text1"/>
        </w:rPr>
        <w:t xml:space="preserve"> связи «МТС» и «Ростелеком» - распространение на сайт</w:t>
      </w:r>
      <w:r w:rsidR="00662AF4" w:rsidRPr="00CA4B04">
        <w:rPr>
          <w:rFonts w:eastAsia="MS PGothic"/>
          <w:bCs/>
          <w:color w:val="000000" w:themeColor="text1"/>
        </w:rPr>
        <w:t>ах</w:t>
      </w:r>
      <w:r w:rsidRPr="00CA4B04">
        <w:rPr>
          <w:rFonts w:eastAsia="MS PGothic"/>
          <w:bCs/>
          <w:color w:val="000000" w:themeColor="text1"/>
        </w:rPr>
        <w:t xml:space="preserve"> операторов информации, вводящей в заблуждение потребителей относительно условий применяемых тарифов.</w:t>
      </w:r>
    </w:p>
    <w:p w:rsidR="00730885" w:rsidRPr="00CA4B04" w:rsidRDefault="00730885" w:rsidP="00B74ED4">
      <w:pPr>
        <w:pStyle w:val="ac"/>
        <w:kinsoku w:val="0"/>
        <w:overflowPunct w:val="0"/>
        <w:spacing w:before="0" w:beforeAutospacing="0" w:after="0" w:afterAutospacing="0"/>
        <w:ind w:firstLine="706"/>
        <w:jc w:val="both"/>
        <w:textAlignment w:val="baseline"/>
      </w:pPr>
    </w:p>
    <w:p w:rsidR="00ED4AA2" w:rsidRPr="00CA4B04" w:rsidRDefault="00ED4AA2" w:rsidP="00B74ED4">
      <w:pPr>
        <w:pStyle w:val="ac"/>
        <w:kinsoku w:val="0"/>
        <w:overflowPunct w:val="0"/>
        <w:spacing w:before="0" w:beforeAutospacing="0" w:after="0" w:afterAutospacing="0"/>
        <w:ind w:firstLine="706"/>
        <w:jc w:val="both"/>
        <w:textAlignment w:val="baseline"/>
      </w:pPr>
    </w:p>
    <w:p w:rsidR="00C6776B" w:rsidRPr="00CA4B04" w:rsidRDefault="00C6776B" w:rsidP="008034F1">
      <w:pPr>
        <w:jc w:val="center"/>
        <w:rPr>
          <w:rFonts w:eastAsia="Calibri"/>
          <w:b/>
          <w:color w:val="000000"/>
          <w:sz w:val="24"/>
          <w:u w:val="single"/>
          <w:lang w:eastAsia="en-US"/>
        </w:rPr>
      </w:pPr>
      <w:r w:rsidRPr="00CA4B04">
        <w:rPr>
          <w:rFonts w:eastAsia="Calibri"/>
          <w:b/>
          <w:color w:val="000000"/>
          <w:sz w:val="24"/>
          <w:u w:val="single"/>
          <w:lang w:eastAsia="en-US"/>
        </w:rPr>
        <w:lastRenderedPageBreak/>
        <w:t>Контроль рекламы</w:t>
      </w:r>
    </w:p>
    <w:p w:rsidR="00ED4AA2" w:rsidRPr="00CA4B04" w:rsidRDefault="00ED4AA2" w:rsidP="008034F1">
      <w:pPr>
        <w:jc w:val="center"/>
        <w:rPr>
          <w:rFonts w:eastAsia="Calibri"/>
          <w:b/>
          <w:i/>
          <w:color w:val="000000"/>
          <w:sz w:val="24"/>
          <w:u w:val="single"/>
          <w:lang w:eastAsia="en-US"/>
        </w:rPr>
      </w:pPr>
    </w:p>
    <w:p w:rsidR="00BD3963" w:rsidRPr="00CA4B04" w:rsidRDefault="003F2974" w:rsidP="00B74ED4">
      <w:pPr>
        <w:pStyle w:val="ac"/>
        <w:tabs>
          <w:tab w:val="num" w:pos="0"/>
        </w:tabs>
        <w:spacing w:before="0" w:beforeAutospacing="0" w:after="0" w:afterAutospacing="0"/>
        <w:ind w:firstLine="706"/>
        <w:jc w:val="both"/>
      </w:pPr>
      <w:r w:rsidRPr="00CA4B04">
        <w:t xml:space="preserve">Третий год </w:t>
      </w:r>
      <w:r w:rsidR="00EF66B0" w:rsidRPr="00CA4B04">
        <w:t xml:space="preserve">подряд </w:t>
      </w:r>
      <w:r w:rsidRPr="00CA4B04">
        <w:t>о</w:t>
      </w:r>
      <w:r w:rsidR="004A5BFF" w:rsidRPr="00CA4B04">
        <w:t xml:space="preserve">тмечается </w:t>
      </w:r>
      <w:r w:rsidRPr="00CA4B04">
        <w:t xml:space="preserve">существенный </w:t>
      </w:r>
      <w:r w:rsidR="004A5BFF" w:rsidRPr="00CA4B04">
        <w:t>рост кол</w:t>
      </w:r>
      <w:r w:rsidR="00EF66B0" w:rsidRPr="00CA4B04">
        <w:t>ичества заявлений, а также дел о нарушениях</w:t>
      </w:r>
      <w:r w:rsidR="004A5BFF" w:rsidRPr="00CA4B04">
        <w:t xml:space="preserve"> рекламного законодательства. В </w:t>
      </w:r>
      <w:r w:rsidRPr="00CA4B04">
        <w:t xml:space="preserve">2019 году </w:t>
      </w:r>
      <w:r w:rsidR="004A5BFF" w:rsidRPr="00CA4B04">
        <w:t>значительно</w:t>
      </w:r>
      <w:r w:rsidR="00BD3963" w:rsidRPr="00CA4B04">
        <w:t xml:space="preserve"> </w:t>
      </w:r>
      <w:r w:rsidR="004A5BFF" w:rsidRPr="00CA4B04">
        <w:t>(</w:t>
      </w:r>
      <w:r w:rsidR="00EF66B0" w:rsidRPr="00CA4B04">
        <w:t>на 75</w:t>
      </w:r>
      <w:r w:rsidR="004A5BFF" w:rsidRPr="00CA4B04">
        <w:t>%) увеличилось количество заявлений (247 за год), на 50% выросло количество выявленных нарушений</w:t>
      </w:r>
      <w:r w:rsidR="00D540ED" w:rsidRPr="00CA4B04">
        <w:t xml:space="preserve"> (71)</w:t>
      </w:r>
      <w:r w:rsidR="00BD3963" w:rsidRPr="00CA4B04">
        <w:t>.</w:t>
      </w:r>
    </w:p>
    <w:p w:rsidR="00D553BE" w:rsidRPr="00CA4B04" w:rsidRDefault="00A24451" w:rsidP="00B74ED4">
      <w:pPr>
        <w:pStyle w:val="a3"/>
        <w:tabs>
          <w:tab w:val="left" w:pos="1120"/>
        </w:tabs>
        <w:ind w:right="23" w:firstLine="706"/>
        <w:contextualSpacing/>
        <w:jc w:val="both"/>
        <w:rPr>
          <w:b w:val="0"/>
          <w:sz w:val="24"/>
        </w:rPr>
      </w:pPr>
      <w:r w:rsidRPr="00CA4B04">
        <w:rPr>
          <w:b w:val="0"/>
          <w:sz w:val="24"/>
        </w:rPr>
        <w:t xml:space="preserve">Сохраняется существенная доля дел по федеральной рекламе, распространяемой не только в нашем регионе. В этом году </w:t>
      </w:r>
      <w:r w:rsidR="00BB6EEC" w:rsidRPr="00CA4B04">
        <w:rPr>
          <w:b w:val="0"/>
          <w:sz w:val="24"/>
        </w:rPr>
        <w:t xml:space="preserve">УФАС </w:t>
      </w:r>
      <w:r w:rsidRPr="00CA4B04">
        <w:rPr>
          <w:b w:val="0"/>
          <w:sz w:val="24"/>
        </w:rPr>
        <w:t>рассмотрено 10 дел по полномочиям</w:t>
      </w:r>
      <w:r w:rsidR="00BB6EEC" w:rsidRPr="00CA4B04">
        <w:rPr>
          <w:b w:val="0"/>
          <w:sz w:val="24"/>
        </w:rPr>
        <w:t>,</w:t>
      </w:r>
      <w:r w:rsidRPr="00CA4B04">
        <w:rPr>
          <w:b w:val="0"/>
          <w:sz w:val="24"/>
        </w:rPr>
        <w:t xml:space="preserve"> предоставленным ФАС России.</w:t>
      </w:r>
    </w:p>
    <w:p w:rsidR="00D0687C" w:rsidRPr="00CA4B04" w:rsidRDefault="00D0687C" w:rsidP="00B74ED4">
      <w:pPr>
        <w:pStyle w:val="a3"/>
        <w:tabs>
          <w:tab w:val="left" w:pos="1120"/>
        </w:tabs>
        <w:ind w:right="23" w:firstLine="706"/>
        <w:contextualSpacing/>
        <w:jc w:val="both"/>
        <w:rPr>
          <w:b w:val="0"/>
          <w:sz w:val="24"/>
        </w:rPr>
      </w:pPr>
      <w:r w:rsidRPr="00CA4B04">
        <w:rPr>
          <w:b w:val="0"/>
          <w:sz w:val="24"/>
        </w:rPr>
        <w:t>Примеры важных дел.</w:t>
      </w:r>
    </w:p>
    <w:p w:rsidR="002D5ABB" w:rsidRPr="00CA4B04" w:rsidRDefault="002D5ABB" w:rsidP="00B74ED4">
      <w:pPr>
        <w:pStyle w:val="a3"/>
        <w:numPr>
          <w:ilvl w:val="0"/>
          <w:numId w:val="13"/>
        </w:numPr>
        <w:tabs>
          <w:tab w:val="num" w:pos="0"/>
          <w:tab w:val="left" w:pos="1120"/>
        </w:tabs>
        <w:ind w:left="0" w:right="23" w:firstLine="706"/>
        <w:contextualSpacing/>
        <w:jc w:val="both"/>
        <w:rPr>
          <w:b w:val="0"/>
          <w:sz w:val="24"/>
        </w:rPr>
      </w:pPr>
      <w:r w:rsidRPr="00CA4B04">
        <w:rPr>
          <w:b w:val="0"/>
          <w:sz w:val="24"/>
        </w:rPr>
        <w:t xml:space="preserve">В сети Интернет компанией </w:t>
      </w:r>
      <w:proofErr w:type="spellStart"/>
      <w:r w:rsidRPr="00CA4B04">
        <w:rPr>
          <w:b w:val="0"/>
          <w:sz w:val="24"/>
        </w:rPr>
        <w:t>Google</w:t>
      </w:r>
      <w:proofErr w:type="spellEnd"/>
      <w:r w:rsidRPr="00CA4B04">
        <w:rPr>
          <w:b w:val="0"/>
          <w:sz w:val="24"/>
        </w:rPr>
        <w:t xml:space="preserve"> LLC (США) как рекламораспространителем продвигалась дистанционная продажа счетчиков учета электроэнергии с дистанционным управлением, особенность которых состояла в наличии пультов, уменьшающих объём потреблённой электроэнергии.</w:t>
      </w:r>
    </w:p>
    <w:p w:rsidR="00BD3963" w:rsidRPr="00CA4B04" w:rsidRDefault="00834ACC" w:rsidP="00B74ED4">
      <w:pPr>
        <w:pStyle w:val="a3"/>
        <w:tabs>
          <w:tab w:val="num" w:pos="0"/>
          <w:tab w:val="left" w:pos="1120"/>
        </w:tabs>
        <w:ind w:right="23" w:firstLine="706"/>
        <w:contextualSpacing/>
        <w:jc w:val="both"/>
        <w:rPr>
          <w:b w:val="0"/>
          <w:sz w:val="24"/>
        </w:rPr>
      </w:pPr>
      <w:r w:rsidRPr="00CA4B04">
        <w:rPr>
          <w:b w:val="0"/>
          <w:sz w:val="24"/>
        </w:rPr>
        <w:t>В</w:t>
      </w:r>
      <w:r w:rsidR="00BD3963" w:rsidRPr="00CA4B04">
        <w:rPr>
          <w:b w:val="0"/>
          <w:sz w:val="24"/>
        </w:rPr>
        <w:t>ыявлен</w:t>
      </w:r>
      <w:r w:rsidRPr="00CA4B04">
        <w:rPr>
          <w:b w:val="0"/>
          <w:sz w:val="24"/>
        </w:rPr>
        <w:t>н</w:t>
      </w:r>
      <w:r w:rsidR="00BD3963" w:rsidRPr="00CA4B04">
        <w:rPr>
          <w:b w:val="0"/>
          <w:sz w:val="24"/>
        </w:rPr>
        <w:t>ы</w:t>
      </w:r>
      <w:r w:rsidRPr="00CA4B04">
        <w:rPr>
          <w:b w:val="0"/>
          <w:sz w:val="24"/>
        </w:rPr>
        <w:t>е</w:t>
      </w:r>
      <w:r w:rsidR="00BD3963" w:rsidRPr="00CA4B04">
        <w:rPr>
          <w:b w:val="0"/>
          <w:sz w:val="24"/>
        </w:rPr>
        <w:t xml:space="preserve"> нарушения</w:t>
      </w:r>
      <w:r w:rsidR="002D5ABB" w:rsidRPr="00CA4B04">
        <w:rPr>
          <w:b w:val="0"/>
          <w:sz w:val="24"/>
        </w:rPr>
        <w:t>:</w:t>
      </w:r>
      <w:r w:rsidR="00BD3963" w:rsidRPr="00CA4B04">
        <w:rPr>
          <w:b w:val="0"/>
          <w:sz w:val="24"/>
        </w:rPr>
        <w:t xml:space="preserve"> побуждение к совершению противоправных действий, запрет на рекламу </w:t>
      </w:r>
      <w:r w:rsidRPr="00CA4B04">
        <w:rPr>
          <w:b w:val="0"/>
          <w:sz w:val="24"/>
        </w:rPr>
        <w:t>незаконных видов деятельности</w:t>
      </w:r>
      <w:r w:rsidR="00BD3963" w:rsidRPr="00CA4B04">
        <w:rPr>
          <w:b w:val="0"/>
          <w:sz w:val="24"/>
        </w:rPr>
        <w:t xml:space="preserve"> и реклама дистанционной продажи товаров в отсутствие указания сведений о продавце.</w:t>
      </w:r>
    </w:p>
    <w:p w:rsidR="00BD3963" w:rsidRPr="00CA4B04" w:rsidRDefault="00BD3963" w:rsidP="00B74ED4">
      <w:pPr>
        <w:tabs>
          <w:tab w:val="num" w:pos="0"/>
        </w:tabs>
        <w:ind w:firstLine="706"/>
        <w:jc w:val="both"/>
        <w:rPr>
          <w:sz w:val="24"/>
        </w:rPr>
      </w:pPr>
      <w:r w:rsidRPr="00CA4B04">
        <w:rPr>
          <w:sz w:val="24"/>
        </w:rPr>
        <w:t xml:space="preserve">Выданное предписание о прекращении нарушения своевременно исполнено </w:t>
      </w:r>
      <w:proofErr w:type="spellStart"/>
      <w:r w:rsidRPr="00CA4B04">
        <w:rPr>
          <w:sz w:val="24"/>
        </w:rPr>
        <w:t>Гугл</w:t>
      </w:r>
      <w:proofErr w:type="spellEnd"/>
      <w:r w:rsidRPr="00CA4B04">
        <w:rPr>
          <w:sz w:val="24"/>
        </w:rPr>
        <w:t xml:space="preserve"> «</w:t>
      </w:r>
      <w:proofErr w:type="spellStart"/>
      <w:r w:rsidRPr="00CA4B04">
        <w:rPr>
          <w:sz w:val="24"/>
        </w:rPr>
        <w:t>ЭлЭлСи</w:t>
      </w:r>
      <w:proofErr w:type="spellEnd"/>
      <w:r w:rsidRPr="00CA4B04">
        <w:rPr>
          <w:sz w:val="24"/>
        </w:rPr>
        <w:t>»</w:t>
      </w:r>
      <w:r w:rsidR="00174BAF" w:rsidRPr="00CA4B04">
        <w:rPr>
          <w:sz w:val="24"/>
        </w:rPr>
        <w:t>,</w:t>
      </w:r>
      <w:r w:rsidR="002D5ABB" w:rsidRPr="00CA4B04">
        <w:rPr>
          <w:sz w:val="24"/>
        </w:rPr>
        <w:t xml:space="preserve"> </w:t>
      </w:r>
      <w:r w:rsidR="00174BAF" w:rsidRPr="00CA4B04">
        <w:rPr>
          <w:sz w:val="24"/>
        </w:rPr>
        <w:t>н</w:t>
      </w:r>
      <w:r w:rsidR="002D5ABB" w:rsidRPr="00CA4B04">
        <w:rPr>
          <w:sz w:val="24"/>
        </w:rPr>
        <w:t xml:space="preserve">а </w:t>
      </w:r>
      <w:r w:rsidR="00174BAF" w:rsidRPr="00CA4B04">
        <w:rPr>
          <w:sz w:val="24"/>
        </w:rPr>
        <w:t xml:space="preserve">него </w:t>
      </w:r>
      <w:r w:rsidR="002D5ABB" w:rsidRPr="00CA4B04">
        <w:rPr>
          <w:sz w:val="24"/>
        </w:rPr>
        <w:t>наложен штраф</w:t>
      </w:r>
      <w:r w:rsidR="00ED4AA2" w:rsidRPr="00CA4B04">
        <w:rPr>
          <w:sz w:val="24"/>
        </w:rPr>
        <w:t xml:space="preserve"> 150 тыс</w:t>
      </w:r>
      <w:proofErr w:type="gramStart"/>
      <w:r w:rsidR="00ED4AA2" w:rsidRPr="00CA4B04">
        <w:rPr>
          <w:sz w:val="24"/>
        </w:rPr>
        <w:t>.р</w:t>
      </w:r>
      <w:proofErr w:type="gramEnd"/>
      <w:r w:rsidR="00ED4AA2" w:rsidRPr="00CA4B04">
        <w:rPr>
          <w:sz w:val="24"/>
        </w:rPr>
        <w:t>уб</w:t>
      </w:r>
      <w:r w:rsidR="002D5ABB" w:rsidRPr="00CA4B04">
        <w:rPr>
          <w:sz w:val="24"/>
        </w:rPr>
        <w:t xml:space="preserve">. </w:t>
      </w:r>
      <w:r w:rsidRPr="00CA4B04">
        <w:rPr>
          <w:sz w:val="24"/>
        </w:rPr>
        <w:t>Штраф оплачен.</w:t>
      </w:r>
    </w:p>
    <w:p w:rsidR="002D5ABB" w:rsidRPr="00CA4B04" w:rsidRDefault="002D5ABB" w:rsidP="00B74ED4">
      <w:pPr>
        <w:pStyle w:val="ac"/>
        <w:numPr>
          <w:ilvl w:val="0"/>
          <w:numId w:val="13"/>
        </w:numPr>
        <w:shd w:val="clear" w:color="auto" w:fill="FFFFFF"/>
        <w:spacing w:before="0" w:beforeAutospacing="0" w:after="0" w:afterAutospacing="0"/>
        <w:ind w:left="0" w:firstLine="706"/>
        <w:jc w:val="both"/>
        <w:textAlignment w:val="baseline"/>
        <w:rPr>
          <w:color w:val="000000"/>
        </w:rPr>
      </w:pPr>
      <w:r w:rsidRPr="00CA4B04">
        <w:rPr>
          <w:color w:val="000000"/>
        </w:rPr>
        <w:t>В сети Интерн</w:t>
      </w:r>
      <w:r w:rsidR="00174BAF" w:rsidRPr="00CA4B04">
        <w:rPr>
          <w:color w:val="000000"/>
        </w:rPr>
        <w:t>ет активно рекламировались «дешё</w:t>
      </w:r>
      <w:r w:rsidRPr="00CA4B04">
        <w:rPr>
          <w:color w:val="000000"/>
        </w:rPr>
        <w:t>вые» автокредиты от 4,5% от АЦ «Волга</w:t>
      </w:r>
      <w:r w:rsidR="001A1BBC" w:rsidRPr="00CA4B04">
        <w:rPr>
          <w:color w:val="000000"/>
        </w:rPr>
        <w:t>» (ООО «</w:t>
      </w:r>
      <w:proofErr w:type="spellStart"/>
      <w:r w:rsidR="001A1BBC" w:rsidRPr="00CA4B04">
        <w:rPr>
          <w:color w:val="000000"/>
        </w:rPr>
        <w:t>Виктори</w:t>
      </w:r>
      <w:proofErr w:type="spellEnd"/>
      <w:r w:rsidR="001A1BBC" w:rsidRPr="00CA4B04">
        <w:rPr>
          <w:color w:val="000000"/>
        </w:rPr>
        <w:t>»)</w:t>
      </w:r>
      <w:r w:rsidRPr="00CA4B04">
        <w:rPr>
          <w:color w:val="000000"/>
        </w:rPr>
        <w:t xml:space="preserve">. Однако фактически </w:t>
      </w:r>
      <w:proofErr w:type="gramStart"/>
      <w:r w:rsidRPr="00CA4B04">
        <w:rPr>
          <w:color w:val="000000"/>
        </w:rPr>
        <w:t>гражданине</w:t>
      </w:r>
      <w:proofErr w:type="gramEnd"/>
      <w:r w:rsidRPr="00CA4B04">
        <w:rPr>
          <w:color w:val="000000"/>
        </w:rPr>
        <w:t xml:space="preserve"> оформлял</w:t>
      </w:r>
      <w:r w:rsidR="001A1BBC" w:rsidRPr="00CA4B04">
        <w:rPr>
          <w:color w:val="000000"/>
        </w:rPr>
        <w:t>и</w:t>
      </w:r>
      <w:r w:rsidRPr="00CA4B04">
        <w:rPr>
          <w:color w:val="000000"/>
        </w:rPr>
        <w:t xml:space="preserve"> договоры с гораздо более высокой процентной ставкой</w:t>
      </w:r>
      <w:r w:rsidR="001A1BBC" w:rsidRPr="00CA4B04">
        <w:rPr>
          <w:color w:val="000000"/>
        </w:rPr>
        <w:t xml:space="preserve"> (16% и более)</w:t>
      </w:r>
      <w:r w:rsidRPr="00CA4B04">
        <w:rPr>
          <w:color w:val="000000"/>
        </w:rPr>
        <w:t>. Кроме того, на сайте, на который переадресовывался клиент при нажатии на баннер контекстной рекламы, упоминались и крупные банки. Однако банки, логотипы которых были использованы на странице </w:t>
      </w:r>
      <w:hyperlink r:id="rId8" w:history="1">
        <w:r w:rsidRPr="00CA4B04">
          <w:rPr>
            <w:rStyle w:val="a6"/>
            <w:color w:val="007085"/>
            <w:bdr w:val="none" w:sz="0" w:space="0" w:color="auto" w:frame="1"/>
          </w:rPr>
          <w:t>http://ac-volga.ru</w:t>
        </w:r>
      </w:hyperlink>
      <w:r w:rsidR="00174BAF" w:rsidRPr="00CA4B04">
        <w:rPr>
          <w:rStyle w:val="a6"/>
          <w:color w:val="007085"/>
          <w:bdr w:val="none" w:sz="0" w:space="0" w:color="auto" w:frame="1"/>
        </w:rPr>
        <w:t>,</w:t>
      </w:r>
      <w:r w:rsidR="00174BAF" w:rsidRPr="00CA4B04">
        <w:rPr>
          <w:color w:val="000000"/>
        </w:rPr>
        <w:t xml:space="preserve"> указали, </w:t>
      </w:r>
      <w:r w:rsidRPr="00CA4B04">
        <w:rPr>
          <w:color w:val="000000"/>
        </w:rPr>
        <w:t>что не имеют договоров о сотрудничестве в рамках программ автокред</w:t>
      </w:r>
      <w:r w:rsidR="001A1BBC" w:rsidRPr="00CA4B04">
        <w:rPr>
          <w:color w:val="000000"/>
        </w:rPr>
        <w:t xml:space="preserve">итования с </w:t>
      </w:r>
      <w:r w:rsidR="00174BAF" w:rsidRPr="00CA4B04">
        <w:rPr>
          <w:color w:val="000000"/>
        </w:rPr>
        <w:t>АЦ «Волга»</w:t>
      </w:r>
      <w:r w:rsidRPr="00CA4B04">
        <w:rPr>
          <w:color w:val="000000"/>
        </w:rPr>
        <w:t>.</w:t>
      </w:r>
      <w:r w:rsidR="001A1BBC" w:rsidRPr="00CA4B04">
        <w:rPr>
          <w:color w:val="000000"/>
        </w:rPr>
        <w:t xml:space="preserve"> Реклама признана ненадлежащей, предписание о прекращении </w:t>
      </w:r>
      <w:r w:rsidR="00174BAF" w:rsidRPr="00CA4B04">
        <w:rPr>
          <w:color w:val="000000"/>
        </w:rPr>
        <w:t xml:space="preserve">её </w:t>
      </w:r>
      <w:r w:rsidR="001A1BBC" w:rsidRPr="00CA4B04">
        <w:rPr>
          <w:color w:val="000000"/>
        </w:rPr>
        <w:t xml:space="preserve">распространения исполнено </w:t>
      </w:r>
      <w:proofErr w:type="spellStart"/>
      <w:r w:rsidR="001A1BBC" w:rsidRPr="00CA4B04">
        <w:rPr>
          <w:color w:val="000000"/>
        </w:rPr>
        <w:t>рекламораспространителем</w:t>
      </w:r>
      <w:proofErr w:type="spellEnd"/>
      <w:r w:rsidR="001A1BBC" w:rsidRPr="00CA4B04">
        <w:rPr>
          <w:color w:val="000000"/>
        </w:rPr>
        <w:t xml:space="preserve"> (</w:t>
      </w:r>
      <w:proofErr w:type="spellStart"/>
      <w:r w:rsidR="001A1BBC" w:rsidRPr="00CA4B04">
        <w:rPr>
          <w:color w:val="000000"/>
        </w:rPr>
        <w:t>Яндекс</w:t>
      </w:r>
      <w:proofErr w:type="spellEnd"/>
      <w:r w:rsidR="001A1BBC" w:rsidRPr="00CA4B04">
        <w:rPr>
          <w:color w:val="000000"/>
        </w:rPr>
        <w:t>)</w:t>
      </w:r>
      <w:r w:rsidR="00174BAF" w:rsidRPr="00CA4B04">
        <w:rPr>
          <w:color w:val="000000"/>
        </w:rPr>
        <w:t>.</w:t>
      </w:r>
    </w:p>
    <w:p w:rsidR="00B74ED4" w:rsidRPr="00CA4B04" w:rsidRDefault="001A1BBC" w:rsidP="0048606F">
      <w:pPr>
        <w:pStyle w:val="ab"/>
        <w:numPr>
          <w:ilvl w:val="0"/>
          <w:numId w:val="13"/>
        </w:numPr>
        <w:tabs>
          <w:tab w:val="num" w:pos="0"/>
        </w:tabs>
        <w:ind w:left="0" w:firstLine="706"/>
        <w:jc w:val="both"/>
        <w:rPr>
          <w:sz w:val="24"/>
        </w:rPr>
      </w:pPr>
      <w:r w:rsidRPr="00CA4B04">
        <w:rPr>
          <w:sz w:val="24"/>
        </w:rPr>
        <w:t>Важное судебное решение этого года - Арбитражный суд Волгоградской области решением по делу № А12-9811/2019 отказал ПАО «Сбербанк» в признании незаконным решения УФАС.</w:t>
      </w:r>
      <w:r w:rsidR="00B74ED4" w:rsidRPr="00CA4B04">
        <w:rPr>
          <w:sz w:val="24"/>
        </w:rPr>
        <w:t xml:space="preserve"> В данном деле было установлено, что в рекламном бан</w:t>
      </w:r>
      <w:r w:rsidR="00174BAF" w:rsidRPr="00CA4B04">
        <w:rPr>
          <w:sz w:val="24"/>
        </w:rPr>
        <w:t>н</w:t>
      </w:r>
      <w:r w:rsidR="00B74ED4" w:rsidRPr="00CA4B04">
        <w:rPr>
          <w:sz w:val="24"/>
        </w:rPr>
        <w:t>ере, распространяемом в соцсетях и на странице сайта банка, на который вела гиперссылка в рекламе</w:t>
      </w:r>
      <w:r w:rsidR="00174BAF" w:rsidRPr="00CA4B04">
        <w:rPr>
          <w:sz w:val="24"/>
        </w:rPr>
        <w:t>,</w:t>
      </w:r>
      <w:r w:rsidR="00B74ED4" w:rsidRPr="00CA4B04">
        <w:rPr>
          <w:sz w:val="24"/>
        </w:rPr>
        <w:t xml:space="preserve"> в доступном виде не была представлена информация об у</w:t>
      </w:r>
      <w:r w:rsidR="00174BAF" w:rsidRPr="00CA4B04">
        <w:rPr>
          <w:sz w:val="24"/>
        </w:rPr>
        <w:t>словиях рекламируемого кредита.</w:t>
      </w:r>
      <w:r w:rsidR="00B74ED4" w:rsidRPr="00CA4B04">
        <w:rPr>
          <w:sz w:val="24"/>
        </w:rPr>
        <w:t xml:space="preserve"> Важно, </w:t>
      </w:r>
      <w:proofErr w:type="gramStart"/>
      <w:r w:rsidR="00B74ED4" w:rsidRPr="00CA4B04">
        <w:rPr>
          <w:sz w:val="24"/>
        </w:rPr>
        <w:t>что</w:t>
      </w:r>
      <w:proofErr w:type="gramEnd"/>
      <w:r w:rsidR="00B74ED4" w:rsidRPr="00CA4B04">
        <w:rPr>
          <w:sz w:val="24"/>
        </w:rPr>
        <w:t xml:space="preserve"> несмотря на обжалование в суде решения и предписания, ПАО «Сбербанк» уже в ходе рассмотрения дела и после вынесения решения вносил значительные изменения в форму представления информации об условиях потребительских кредитов на своем сайте, сделав более доступным доведение до потребителей существенной и</w:t>
      </w:r>
      <w:r w:rsidR="00174BAF" w:rsidRPr="00CA4B04">
        <w:rPr>
          <w:sz w:val="24"/>
        </w:rPr>
        <w:t>нформации об условиях кредитов.</w:t>
      </w:r>
    </w:p>
    <w:p w:rsidR="00174BAF" w:rsidRPr="00CA4B04" w:rsidRDefault="00174BAF" w:rsidP="00174BAF">
      <w:pPr>
        <w:tabs>
          <w:tab w:val="num" w:pos="0"/>
        </w:tabs>
        <w:jc w:val="both"/>
        <w:rPr>
          <w:sz w:val="26"/>
          <w:szCs w:val="26"/>
        </w:rPr>
      </w:pPr>
      <w:bookmarkStart w:id="0" w:name="_GoBack"/>
      <w:bookmarkEnd w:id="0"/>
    </w:p>
    <w:sectPr w:rsidR="00174BAF" w:rsidRPr="00CA4B04" w:rsidSect="0078073F">
      <w:headerReference w:type="default" r:id="rId9"/>
      <w:pgSz w:w="11906" w:h="16838"/>
      <w:pgMar w:top="1134" w:right="851" w:bottom="1134" w:left="1418"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34E" w:rsidRDefault="00F4634E" w:rsidP="00B41B84">
      <w:r>
        <w:separator/>
      </w:r>
    </w:p>
  </w:endnote>
  <w:endnote w:type="continuationSeparator" w:id="0">
    <w:p w:rsidR="00F4634E" w:rsidRDefault="00F4634E" w:rsidP="00B41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34E" w:rsidRDefault="00F4634E" w:rsidP="00B41B84">
      <w:r>
        <w:separator/>
      </w:r>
    </w:p>
  </w:footnote>
  <w:footnote w:type="continuationSeparator" w:id="0">
    <w:p w:rsidR="00F4634E" w:rsidRDefault="00F4634E" w:rsidP="00B41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446596"/>
      <w:docPartObj>
        <w:docPartGallery w:val="Page Numbers (Top of Page)"/>
        <w:docPartUnique/>
      </w:docPartObj>
    </w:sdtPr>
    <w:sdtEndPr>
      <w:rPr>
        <w:sz w:val="24"/>
      </w:rPr>
    </w:sdtEndPr>
    <w:sdtContent>
      <w:p w:rsidR="00C90143" w:rsidRDefault="00C90143">
        <w:pPr>
          <w:pStyle w:val="a7"/>
          <w:jc w:val="center"/>
        </w:pPr>
      </w:p>
      <w:p w:rsidR="00C90143" w:rsidRDefault="00C90143">
        <w:pPr>
          <w:pStyle w:val="a7"/>
          <w:jc w:val="center"/>
        </w:pPr>
      </w:p>
      <w:p w:rsidR="00C90143" w:rsidRPr="00D553BE" w:rsidRDefault="00286BCF">
        <w:pPr>
          <w:pStyle w:val="a7"/>
          <w:jc w:val="center"/>
          <w:rPr>
            <w:sz w:val="24"/>
          </w:rPr>
        </w:pPr>
        <w:r w:rsidRPr="00D553BE">
          <w:rPr>
            <w:sz w:val="24"/>
          </w:rPr>
          <w:fldChar w:fldCharType="begin"/>
        </w:r>
        <w:r w:rsidR="005404D1" w:rsidRPr="00D553BE">
          <w:rPr>
            <w:sz w:val="24"/>
          </w:rPr>
          <w:instrText xml:space="preserve"> PAGE   \* MERGEFORMAT </w:instrText>
        </w:r>
        <w:r w:rsidRPr="00D553BE">
          <w:rPr>
            <w:sz w:val="24"/>
          </w:rPr>
          <w:fldChar w:fldCharType="separate"/>
        </w:r>
        <w:r w:rsidR="00CA4B04">
          <w:rPr>
            <w:noProof/>
            <w:sz w:val="24"/>
          </w:rPr>
          <w:t>4</w:t>
        </w:r>
        <w:r w:rsidRPr="00D553BE">
          <w:rPr>
            <w:sz w:val="24"/>
          </w:rPr>
          <w:fldChar w:fldCharType="end"/>
        </w:r>
      </w:p>
    </w:sdtContent>
  </w:sdt>
  <w:p w:rsidR="00C90143" w:rsidRPr="00B41B84" w:rsidRDefault="00C90143" w:rsidP="00B41B84">
    <w:pPr>
      <w:pStyle w:val="a7"/>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1E50F0"/>
    <w:lvl w:ilvl="0">
      <w:numFmt w:val="bullet"/>
      <w:lvlText w:val="*"/>
      <w:lvlJc w:val="left"/>
    </w:lvl>
  </w:abstractNum>
  <w:abstractNum w:abstractNumId="1">
    <w:nsid w:val="0A3A0E81"/>
    <w:multiLevelType w:val="hybridMultilevel"/>
    <w:tmpl w:val="21CE3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3000E2"/>
    <w:multiLevelType w:val="hybridMultilevel"/>
    <w:tmpl w:val="2AA2D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1D009D"/>
    <w:multiLevelType w:val="hybridMultilevel"/>
    <w:tmpl w:val="477A9E5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21F03E4F"/>
    <w:multiLevelType w:val="hybridMultilevel"/>
    <w:tmpl w:val="609E1F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A15CA2"/>
    <w:multiLevelType w:val="hybridMultilevel"/>
    <w:tmpl w:val="800CCD44"/>
    <w:lvl w:ilvl="0" w:tplc="C7A4580E">
      <w:start w:val="1"/>
      <w:numFmt w:val="decimal"/>
      <w:lvlText w:val="%1."/>
      <w:lvlJc w:val="left"/>
      <w:pPr>
        <w:tabs>
          <w:tab w:val="num" w:pos="1360"/>
        </w:tabs>
        <w:ind w:left="1360" w:hanging="780"/>
      </w:pPr>
      <w:rPr>
        <w:rFonts w:hint="default"/>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6">
    <w:nsid w:val="6EED3E3F"/>
    <w:multiLevelType w:val="hybridMultilevel"/>
    <w:tmpl w:val="4E5C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91287C"/>
    <w:multiLevelType w:val="hybridMultilevel"/>
    <w:tmpl w:val="BFB86E54"/>
    <w:lvl w:ilvl="0" w:tplc="F6886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D9635BC"/>
    <w:multiLevelType w:val="hybridMultilevel"/>
    <w:tmpl w:val="9EE8B7E0"/>
    <w:lvl w:ilvl="0" w:tplc="929C0A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3"/>
  </w:num>
  <w:num w:numId="4">
    <w:abstractNumId w:val="1"/>
  </w:num>
  <w:num w:numId="5">
    <w:abstractNumId w:val="5"/>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7"/>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9681F"/>
    <w:rsid w:val="00046226"/>
    <w:rsid w:val="000663DA"/>
    <w:rsid w:val="000718F0"/>
    <w:rsid w:val="000814CB"/>
    <w:rsid w:val="00097457"/>
    <w:rsid w:val="000A1473"/>
    <w:rsid w:val="000A268A"/>
    <w:rsid w:val="000A3355"/>
    <w:rsid w:val="000A3AB0"/>
    <w:rsid w:val="000B2AF5"/>
    <w:rsid w:val="000C51C1"/>
    <w:rsid w:val="000D2441"/>
    <w:rsid w:val="000D2F91"/>
    <w:rsid w:val="000E26E9"/>
    <w:rsid w:val="000E357C"/>
    <w:rsid w:val="000E5880"/>
    <w:rsid w:val="000E5953"/>
    <w:rsid w:val="001006DC"/>
    <w:rsid w:val="00100C5C"/>
    <w:rsid w:val="001036CE"/>
    <w:rsid w:val="00113ED8"/>
    <w:rsid w:val="00116A7D"/>
    <w:rsid w:val="001348FD"/>
    <w:rsid w:val="00135B31"/>
    <w:rsid w:val="00136841"/>
    <w:rsid w:val="001372B0"/>
    <w:rsid w:val="00147DC5"/>
    <w:rsid w:val="00163687"/>
    <w:rsid w:val="0016426D"/>
    <w:rsid w:val="00166556"/>
    <w:rsid w:val="00167490"/>
    <w:rsid w:val="0017361C"/>
    <w:rsid w:val="00174BAF"/>
    <w:rsid w:val="00181E9F"/>
    <w:rsid w:val="00187BFF"/>
    <w:rsid w:val="00190769"/>
    <w:rsid w:val="001928B7"/>
    <w:rsid w:val="00194A07"/>
    <w:rsid w:val="001A1BBC"/>
    <w:rsid w:val="001B040C"/>
    <w:rsid w:val="001B4E04"/>
    <w:rsid w:val="001E0879"/>
    <w:rsid w:val="001E6CFF"/>
    <w:rsid w:val="001F0A0A"/>
    <w:rsid w:val="001F5BEC"/>
    <w:rsid w:val="00205CC4"/>
    <w:rsid w:val="0021641E"/>
    <w:rsid w:val="00231195"/>
    <w:rsid w:val="00234092"/>
    <w:rsid w:val="0023629D"/>
    <w:rsid w:val="00243EA8"/>
    <w:rsid w:val="002646F0"/>
    <w:rsid w:val="00264B65"/>
    <w:rsid w:val="00273C80"/>
    <w:rsid w:val="00280C51"/>
    <w:rsid w:val="00286BCF"/>
    <w:rsid w:val="002B6F20"/>
    <w:rsid w:val="002D5ABB"/>
    <w:rsid w:val="003103FF"/>
    <w:rsid w:val="00312C05"/>
    <w:rsid w:val="00313695"/>
    <w:rsid w:val="003143C3"/>
    <w:rsid w:val="00323245"/>
    <w:rsid w:val="00330357"/>
    <w:rsid w:val="00342A4C"/>
    <w:rsid w:val="00353E9E"/>
    <w:rsid w:val="003550CE"/>
    <w:rsid w:val="00363D0C"/>
    <w:rsid w:val="003711E9"/>
    <w:rsid w:val="0037685B"/>
    <w:rsid w:val="003833D9"/>
    <w:rsid w:val="00385117"/>
    <w:rsid w:val="00391992"/>
    <w:rsid w:val="003A4A8A"/>
    <w:rsid w:val="003A71E3"/>
    <w:rsid w:val="003F2974"/>
    <w:rsid w:val="003F6963"/>
    <w:rsid w:val="00424DE5"/>
    <w:rsid w:val="004319D6"/>
    <w:rsid w:val="0043516D"/>
    <w:rsid w:val="004459D4"/>
    <w:rsid w:val="004513DE"/>
    <w:rsid w:val="00451ED6"/>
    <w:rsid w:val="00475967"/>
    <w:rsid w:val="00476051"/>
    <w:rsid w:val="004872BB"/>
    <w:rsid w:val="004A5827"/>
    <w:rsid w:val="004A5BFF"/>
    <w:rsid w:val="004A7EE7"/>
    <w:rsid w:val="004B2E8A"/>
    <w:rsid w:val="004C59A7"/>
    <w:rsid w:val="004D006A"/>
    <w:rsid w:val="004E41F2"/>
    <w:rsid w:val="004F102F"/>
    <w:rsid w:val="0050181C"/>
    <w:rsid w:val="0051004F"/>
    <w:rsid w:val="005143EF"/>
    <w:rsid w:val="0052276D"/>
    <w:rsid w:val="00522984"/>
    <w:rsid w:val="005404D1"/>
    <w:rsid w:val="0054262D"/>
    <w:rsid w:val="005434E2"/>
    <w:rsid w:val="005465DB"/>
    <w:rsid w:val="00571366"/>
    <w:rsid w:val="00571F37"/>
    <w:rsid w:val="005930DC"/>
    <w:rsid w:val="005A36FC"/>
    <w:rsid w:val="005B2A03"/>
    <w:rsid w:val="005D48A4"/>
    <w:rsid w:val="005E1AEE"/>
    <w:rsid w:val="005E6EE5"/>
    <w:rsid w:val="00605ECD"/>
    <w:rsid w:val="00650411"/>
    <w:rsid w:val="00662AF4"/>
    <w:rsid w:val="00690AEB"/>
    <w:rsid w:val="00696B91"/>
    <w:rsid w:val="006A1A37"/>
    <w:rsid w:val="006C2D28"/>
    <w:rsid w:val="006C634A"/>
    <w:rsid w:val="006E47D4"/>
    <w:rsid w:val="006E49DA"/>
    <w:rsid w:val="006F0196"/>
    <w:rsid w:val="006F0A11"/>
    <w:rsid w:val="006F30FA"/>
    <w:rsid w:val="006F3BBA"/>
    <w:rsid w:val="007024B1"/>
    <w:rsid w:val="00721009"/>
    <w:rsid w:val="00730885"/>
    <w:rsid w:val="0073202A"/>
    <w:rsid w:val="007405D5"/>
    <w:rsid w:val="0074638E"/>
    <w:rsid w:val="00751ED5"/>
    <w:rsid w:val="00754F5C"/>
    <w:rsid w:val="007651F8"/>
    <w:rsid w:val="007756D1"/>
    <w:rsid w:val="0078073F"/>
    <w:rsid w:val="00780B53"/>
    <w:rsid w:val="007830FF"/>
    <w:rsid w:val="00785430"/>
    <w:rsid w:val="00790192"/>
    <w:rsid w:val="00795E57"/>
    <w:rsid w:val="007A568C"/>
    <w:rsid w:val="007B1C26"/>
    <w:rsid w:val="007B6CBB"/>
    <w:rsid w:val="007C6C52"/>
    <w:rsid w:val="007E0443"/>
    <w:rsid w:val="007E34A7"/>
    <w:rsid w:val="007E4006"/>
    <w:rsid w:val="008034F1"/>
    <w:rsid w:val="00803B41"/>
    <w:rsid w:val="00805188"/>
    <w:rsid w:val="00805C12"/>
    <w:rsid w:val="008151AF"/>
    <w:rsid w:val="0082019C"/>
    <w:rsid w:val="008247B5"/>
    <w:rsid w:val="00831DBF"/>
    <w:rsid w:val="00832919"/>
    <w:rsid w:val="00834ACC"/>
    <w:rsid w:val="00836E80"/>
    <w:rsid w:val="008451B1"/>
    <w:rsid w:val="00847BB5"/>
    <w:rsid w:val="0086324F"/>
    <w:rsid w:val="00863DD5"/>
    <w:rsid w:val="00872039"/>
    <w:rsid w:val="008915C3"/>
    <w:rsid w:val="00892E0E"/>
    <w:rsid w:val="0089681F"/>
    <w:rsid w:val="008C25E9"/>
    <w:rsid w:val="009009B7"/>
    <w:rsid w:val="00902AB0"/>
    <w:rsid w:val="00907D81"/>
    <w:rsid w:val="00935F92"/>
    <w:rsid w:val="00941FF9"/>
    <w:rsid w:val="0094476A"/>
    <w:rsid w:val="00946CE5"/>
    <w:rsid w:val="00951694"/>
    <w:rsid w:val="00964E6C"/>
    <w:rsid w:val="00986365"/>
    <w:rsid w:val="00995074"/>
    <w:rsid w:val="0099556D"/>
    <w:rsid w:val="009A046B"/>
    <w:rsid w:val="009A23CC"/>
    <w:rsid w:val="009B4CB4"/>
    <w:rsid w:val="009B58E8"/>
    <w:rsid w:val="009C1F28"/>
    <w:rsid w:val="009C4253"/>
    <w:rsid w:val="009D2673"/>
    <w:rsid w:val="009E6DD5"/>
    <w:rsid w:val="009E7624"/>
    <w:rsid w:val="009F1AB9"/>
    <w:rsid w:val="00A11F03"/>
    <w:rsid w:val="00A21B91"/>
    <w:rsid w:val="00A23EB7"/>
    <w:rsid w:val="00A24451"/>
    <w:rsid w:val="00A26954"/>
    <w:rsid w:val="00A26BFE"/>
    <w:rsid w:val="00A357AD"/>
    <w:rsid w:val="00A54D46"/>
    <w:rsid w:val="00A624C9"/>
    <w:rsid w:val="00A70B69"/>
    <w:rsid w:val="00A746AF"/>
    <w:rsid w:val="00A83A45"/>
    <w:rsid w:val="00AA161C"/>
    <w:rsid w:val="00AA266C"/>
    <w:rsid w:val="00AA41F2"/>
    <w:rsid w:val="00AB7469"/>
    <w:rsid w:val="00AF22B4"/>
    <w:rsid w:val="00B05353"/>
    <w:rsid w:val="00B41B84"/>
    <w:rsid w:val="00B53FBC"/>
    <w:rsid w:val="00B554CC"/>
    <w:rsid w:val="00B74ED4"/>
    <w:rsid w:val="00BA0FA4"/>
    <w:rsid w:val="00BB20A8"/>
    <w:rsid w:val="00BB22C1"/>
    <w:rsid w:val="00BB6EEC"/>
    <w:rsid w:val="00BC2FC6"/>
    <w:rsid w:val="00BC4D11"/>
    <w:rsid w:val="00BC4F9D"/>
    <w:rsid w:val="00BC5A58"/>
    <w:rsid w:val="00BD0645"/>
    <w:rsid w:val="00BD3963"/>
    <w:rsid w:val="00BD5F54"/>
    <w:rsid w:val="00BD7ADF"/>
    <w:rsid w:val="00BE1CF1"/>
    <w:rsid w:val="00BE3390"/>
    <w:rsid w:val="00BE5068"/>
    <w:rsid w:val="00C103AE"/>
    <w:rsid w:val="00C1256C"/>
    <w:rsid w:val="00C16E78"/>
    <w:rsid w:val="00C3157C"/>
    <w:rsid w:val="00C505D9"/>
    <w:rsid w:val="00C6776B"/>
    <w:rsid w:val="00C85E6B"/>
    <w:rsid w:val="00C87304"/>
    <w:rsid w:val="00C879C5"/>
    <w:rsid w:val="00C90143"/>
    <w:rsid w:val="00CA4B04"/>
    <w:rsid w:val="00CA74A9"/>
    <w:rsid w:val="00CA7F24"/>
    <w:rsid w:val="00CB6580"/>
    <w:rsid w:val="00CB76B4"/>
    <w:rsid w:val="00CD003F"/>
    <w:rsid w:val="00CD5E9B"/>
    <w:rsid w:val="00CE11A0"/>
    <w:rsid w:val="00CF0DDF"/>
    <w:rsid w:val="00CF46AE"/>
    <w:rsid w:val="00D0687C"/>
    <w:rsid w:val="00D1142C"/>
    <w:rsid w:val="00D32E95"/>
    <w:rsid w:val="00D42C4E"/>
    <w:rsid w:val="00D45141"/>
    <w:rsid w:val="00D46D68"/>
    <w:rsid w:val="00D540ED"/>
    <w:rsid w:val="00D553BE"/>
    <w:rsid w:val="00D5792F"/>
    <w:rsid w:val="00D615C9"/>
    <w:rsid w:val="00D81148"/>
    <w:rsid w:val="00D8117D"/>
    <w:rsid w:val="00D84B05"/>
    <w:rsid w:val="00D85BE2"/>
    <w:rsid w:val="00DA12CF"/>
    <w:rsid w:val="00DA79C8"/>
    <w:rsid w:val="00DB5528"/>
    <w:rsid w:val="00DB6736"/>
    <w:rsid w:val="00DB6B3A"/>
    <w:rsid w:val="00DC0857"/>
    <w:rsid w:val="00DC307F"/>
    <w:rsid w:val="00DE5C25"/>
    <w:rsid w:val="00E03FA6"/>
    <w:rsid w:val="00E06B5C"/>
    <w:rsid w:val="00E0753B"/>
    <w:rsid w:val="00E20045"/>
    <w:rsid w:val="00E20F17"/>
    <w:rsid w:val="00E21620"/>
    <w:rsid w:val="00E22A0B"/>
    <w:rsid w:val="00E30269"/>
    <w:rsid w:val="00E35608"/>
    <w:rsid w:val="00E35738"/>
    <w:rsid w:val="00E4073F"/>
    <w:rsid w:val="00E45E93"/>
    <w:rsid w:val="00E634B5"/>
    <w:rsid w:val="00E6588F"/>
    <w:rsid w:val="00E67B94"/>
    <w:rsid w:val="00E802BA"/>
    <w:rsid w:val="00E817FD"/>
    <w:rsid w:val="00E844BC"/>
    <w:rsid w:val="00E861EB"/>
    <w:rsid w:val="00EA2609"/>
    <w:rsid w:val="00EA5371"/>
    <w:rsid w:val="00EA547F"/>
    <w:rsid w:val="00EB2998"/>
    <w:rsid w:val="00EB4CC6"/>
    <w:rsid w:val="00ED4AA2"/>
    <w:rsid w:val="00EE5A3E"/>
    <w:rsid w:val="00EF56A2"/>
    <w:rsid w:val="00EF66B0"/>
    <w:rsid w:val="00EF7976"/>
    <w:rsid w:val="00F07F9A"/>
    <w:rsid w:val="00F2106D"/>
    <w:rsid w:val="00F25DC9"/>
    <w:rsid w:val="00F275AF"/>
    <w:rsid w:val="00F308FF"/>
    <w:rsid w:val="00F34C1F"/>
    <w:rsid w:val="00F4634E"/>
    <w:rsid w:val="00F520F7"/>
    <w:rsid w:val="00F758E7"/>
    <w:rsid w:val="00F837F3"/>
    <w:rsid w:val="00FA09CB"/>
    <w:rsid w:val="00FB3362"/>
    <w:rsid w:val="00FD639A"/>
    <w:rsid w:val="00FD76B2"/>
    <w:rsid w:val="00FE0D90"/>
    <w:rsid w:val="00FE2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1F"/>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681F"/>
    <w:pPr>
      <w:jc w:val="center"/>
    </w:pPr>
    <w:rPr>
      <w:b/>
      <w:bCs/>
      <w:sz w:val="22"/>
    </w:rPr>
  </w:style>
  <w:style w:type="paragraph" w:customStyle="1" w:styleId="a4">
    <w:name w:val="Знак Знак Знак Знак"/>
    <w:basedOn w:val="a"/>
    <w:rsid w:val="007024B1"/>
    <w:pPr>
      <w:spacing w:after="160" w:line="240" w:lineRule="exact"/>
    </w:pPr>
    <w:rPr>
      <w:rFonts w:ascii="Verdana" w:hAnsi="Verdana"/>
      <w:sz w:val="20"/>
      <w:szCs w:val="20"/>
      <w:lang w:val="en-US" w:eastAsia="en-US"/>
    </w:rPr>
  </w:style>
  <w:style w:type="paragraph" w:customStyle="1" w:styleId="ConsPlusNormal">
    <w:name w:val="ConsPlusNormal"/>
    <w:link w:val="ConsPlusNormal0"/>
    <w:qFormat/>
    <w:rsid w:val="00DB5528"/>
    <w:pPr>
      <w:autoSpaceDE w:val="0"/>
      <w:autoSpaceDN w:val="0"/>
      <w:adjustRightInd w:val="0"/>
      <w:ind w:firstLine="720"/>
    </w:pPr>
    <w:rPr>
      <w:rFonts w:ascii="Arial" w:hAnsi="Arial" w:cs="Arial"/>
    </w:rPr>
  </w:style>
  <w:style w:type="paragraph" w:styleId="a5">
    <w:name w:val="Balloon Text"/>
    <w:basedOn w:val="a"/>
    <w:semiHidden/>
    <w:rsid w:val="003A4A8A"/>
    <w:rPr>
      <w:rFonts w:ascii="Tahoma" w:hAnsi="Tahoma" w:cs="Tahoma"/>
      <w:sz w:val="16"/>
      <w:szCs w:val="16"/>
    </w:rPr>
  </w:style>
  <w:style w:type="character" w:customStyle="1" w:styleId="FontStyle27">
    <w:name w:val="Font Style27"/>
    <w:basedOn w:val="a0"/>
    <w:rsid w:val="0037685B"/>
    <w:rPr>
      <w:rFonts w:ascii="Times New Roman" w:hAnsi="Times New Roman" w:cs="Times New Roman"/>
      <w:sz w:val="26"/>
      <w:szCs w:val="26"/>
    </w:rPr>
  </w:style>
  <w:style w:type="paragraph" w:customStyle="1" w:styleId="Style1">
    <w:name w:val="Style1"/>
    <w:basedOn w:val="a"/>
    <w:uiPriority w:val="99"/>
    <w:rsid w:val="00B41B84"/>
    <w:pPr>
      <w:widowControl w:val="0"/>
      <w:autoSpaceDE w:val="0"/>
      <w:autoSpaceDN w:val="0"/>
      <w:adjustRightInd w:val="0"/>
      <w:spacing w:line="446" w:lineRule="exact"/>
      <w:ind w:firstLine="710"/>
      <w:jc w:val="both"/>
    </w:pPr>
    <w:rPr>
      <w:rFonts w:eastAsiaTheme="minorEastAsia"/>
      <w:sz w:val="24"/>
    </w:rPr>
  </w:style>
  <w:style w:type="paragraph" w:customStyle="1" w:styleId="Style4">
    <w:name w:val="Style4"/>
    <w:basedOn w:val="a"/>
    <w:uiPriority w:val="99"/>
    <w:rsid w:val="00B41B84"/>
    <w:pPr>
      <w:widowControl w:val="0"/>
      <w:autoSpaceDE w:val="0"/>
      <w:autoSpaceDN w:val="0"/>
      <w:adjustRightInd w:val="0"/>
      <w:spacing w:line="448" w:lineRule="exact"/>
      <w:ind w:firstLine="706"/>
      <w:jc w:val="both"/>
    </w:pPr>
    <w:rPr>
      <w:rFonts w:eastAsiaTheme="minorEastAsia"/>
      <w:sz w:val="24"/>
    </w:rPr>
  </w:style>
  <w:style w:type="paragraph" w:customStyle="1" w:styleId="Style6">
    <w:name w:val="Style6"/>
    <w:basedOn w:val="a"/>
    <w:uiPriority w:val="99"/>
    <w:rsid w:val="00B41B84"/>
    <w:pPr>
      <w:widowControl w:val="0"/>
      <w:autoSpaceDE w:val="0"/>
      <w:autoSpaceDN w:val="0"/>
      <w:adjustRightInd w:val="0"/>
    </w:pPr>
    <w:rPr>
      <w:rFonts w:eastAsiaTheme="minorEastAsia"/>
      <w:sz w:val="24"/>
    </w:rPr>
  </w:style>
  <w:style w:type="paragraph" w:customStyle="1" w:styleId="Style9">
    <w:name w:val="Style9"/>
    <w:basedOn w:val="a"/>
    <w:uiPriority w:val="99"/>
    <w:rsid w:val="00B41B84"/>
    <w:pPr>
      <w:widowControl w:val="0"/>
      <w:autoSpaceDE w:val="0"/>
      <w:autoSpaceDN w:val="0"/>
      <w:adjustRightInd w:val="0"/>
      <w:spacing w:line="442" w:lineRule="exact"/>
      <w:ind w:firstLine="706"/>
    </w:pPr>
    <w:rPr>
      <w:rFonts w:eastAsiaTheme="minorEastAsia"/>
      <w:sz w:val="24"/>
    </w:rPr>
  </w:style>
  <w:style w:type="paragraph" w:customStyle="1" w:styleId="Style10">
    <w:name w:val="Style10"/>
    <w:basedOn w:val="a"/>
    <w:uiPriority w:val="99"/>
    <w:rsid w:val="00B41B84"/>
    <w:pPr>
      <w:widowControl w:val="0"/>
      <w:autoSpaceDE w:val="0"/>
      <w:autoSpaceDN w:val="0"/>
      <w:adjustRightInd w:val="0"/>
      <w:spacing w:line="444" w:lineRule="exact"/>
      <w:ind w:firstLine="1440"/>
    </w:pPr>
    <w:rPr>
      <w:rFonts w:eastAsiaTheme="minorEastAsia"/>
      <w:sz w:val="24"/>
    </w:rPr>
  </w:style>
  <w:style w:type="paragraph" w:customStyle="1" w:styleId="Style11">
    <w:name w:val="Style11"/>
    <w:basedOn w:val="a"/>
    <w:uiPriority w:val="99"/>
    <w:rsid w:val="00B41B84"/>
    <w:pPr>
      <w:widowControl w:val="0"/>
      <w:autoSpaceDE w:val="0"/>
      <w:autoSpaceDN w:val="0"/>
      <w:adjustRightInd w:val="0"/>
      <w:spacing w:line="442" w:lineRule="exact"/>
      <w:jc w:val="both"/>
    </w:pPr>
    <w:rPr>
      <w:rFonts w:eastAsiaTheme="minorEastAsia"/>
      <w:sz w:val="24"/>
    </w:rPr>
  </w:style>
  <w:style w:type="paragraph" w:customStyle="1" w:styleId="Style12">
    <w:name w:val="Style12"/>
    <w:basedOn w:val="a"/>
    <w:uiPriority w:val="99"/>
    <w:rsid w:val="00B41B84"/>
    <w:pPr>
      <w:widowControl w:val="0"/>
      <w:autoSpaceDE w:val="0"/>
      <w:autoSpaceDN w:val="0"/>
      <w:adjustRightInd w:val="0"/>
      <w:spacing w:line="446" w:lineRule="exact"/>
    </w:pPr>
    <w:rPr>
      <w:rFonts w:eastAsiaTheme="minorEastAsia"/>
      <w:sz w:val="24"/>
    </w:rPr>
  </w:style>
  <w:style w:type="paragraph" w:customStyle="1" w:styleId="Style13">
    <w:name w:val="Style13"/>
    <w:basedOn w:val="a"/>
    <w:uiPriority w:val="99"/>
    <w:rsid w:val="00B41B84"/>
    <w:pPr>
      <w:widowControl w:val="0"/>
      <w:autoSpaceDE w:val="0"/>
      <w:autoSpaceDN w:val="0"/>
      <w:adjustRightInd w:val="0"/>
    </w:pPr>
    <w:rPr>
      <w:rFonts w:eastAsiaTheme="minorEastAsia"/>
      <w:sz w:val="24"/>
    </w:rPr>
  </w:style>
  <w:style w:type="character" w:customStyle="1" w:styleId="FontStyle19">
    <w:name w:val="Font Style19"/>
    <w:basedOn w:val="a0"/>
    <w:uiPriority w:val="99"/>
    <w:rsid w:val="00B41B84"/>
    <w:rPr>
      <w:rFonts w:ascii="Times New Roman" w:hAnsi="Times New Roman" w:cs="Times New Roman"/>
      <w:b/>
      <w:bCs/>
      <w:i/>
      <w:iCs/>
      <w:sz w:val="24"/>
      <w:szCs w:val="24"/>
    </w:rPr>
  </w:style>
  <w:style w:type="character" w:customStyle="1" w:styleId="FontStyle20">
    <w:name w:val="Font Style20"/>
    <w:basedOn w:val="a0"/>
    <w:uiPriority w:val="99"/>
    <w:rsid w:val="00B41B84"/>
    <w:rPr>
      <w:rFonts w:ascii="Times New Roman" w:hAnsi="Times New Roman" w:cs="Times New Roman"/>
      <w:sz w:val="24"/>
      <w:szCs w:val="24"/>
    </w:rPr>
  </w:style>
  <w:style w:type="character" w:styleId="a6">
    <w:name w:val="Hyperlink"/>
    <w:basedOn w:val="a0"/>
    <w:rsid w:val="00B41B84"/>
    <w:rPr>
      <w:color w:val="0000FF" w:themeColor="hyperlink"/>
      <w:u w:val="single"/>
    </w:rPr>
  </w:style>
  <w:style w:type="paragraph" w:styleId="a7">
    <w:name w:val="header"/>
    <w:basedOn w:val="a"/>
    <w:link w:val="a8"/>
    <w:uiPriority w:val="99"/>
    <w:rsid w:val="00B41B84"/>
    <w:pPr>
      <w:tabs>
        <w:tab w:val="center" w:pos="4677"/>
        <w:tab w:val="right" w:pos="9355"/>
      </w:tabs>
    </w:pPr>
  </w:style>
  <w:style w:type="character" w:customStyle="1" w:styleId="a8">
    <w:name w:val="Верхний колонтитул Знак"/>
    <w:basedOn w:val="a0"/>
    <w:link w:val="a7"/>
    <w:uiPriority w:val="99"/>
    <w:rsid w:val="00B41B84"/>
    <w:rPr>
      <w:sz w:val="28"/>
      <w:szCs w:val="24"/>
    </w:rPr>
  </w:style>
  <w:style w:type="paragraph" w:styleId="a9">
    <w:name w:val="footer"/>
    <w:basedOn w:val="a"/>
    <w:link w:val="aa"/>
    <w:rsid w:val="00B41B84"/>
    <w:pPr>
      <w:tabs>
        <w:tab w:val="center" w:pos="4677"/>
        <w:tab w:val="right" w:pos="9355"/>
      </w:tabs>
    </w:pPr>
  </w:style>
  <w:style w:type="character" w:customStyle="1" w:styleId="aa">
    <w:name w:val="Нижний колонтитул Знак"/>
    <w:basedOn w:val="a0"/>
    <w:link w:val="a9"/>
    <w:rsid w:val="00B41B84"/>
    <w:rPr>
      <w:sz w:val="28"/>
      <w:szCs w:val="24"/>
    </w:rPr>
  </w:style>
  <w:style w:type="character" w:customStyle="1" w:styleId="fontstyle200">
    <w:name w:val="fontstyle20"/>
    <w:basedOn w:val="a0"/>
    <w:rsid w:val="00DE5C25"/>
  </w:style>
  <w:style w:type="paragraph" w:styleId="ab">
    <w:name w:val="List Paragraph"/>
    <w:basedOn w:val="a"/>
    <w:uiPriority w:val="34"/>
    <w:qFormat/>
    <w:rsid w:val="00DE5C25"/>
    <w:pPr>
      <w:ind w:left="720"/>
      <w:contextualSpacing/>
    </w:pPr>
  </w:style>
  <w:style w:type="paragraph" w:styleId="3">
    <w:name w:val="Body Text Indent 3"/>
    <w:basedOn w:val="a"/>
    <w:link w:val="30"/>
    <w:rsid w:val="00A26954"/>
    <w:pPr>
      <w:spacing w:after="120"/>
      <w:ind w:left="283"/>
    </w:pPr>
    <w:rPr>
      <w:sz w:val="16"/>
      <w:szCs w:val="16"/>
    </w:rPr>
  </w:style>
  <w:style w:type="character" w:customStyle="1" w:styleId="30">
    <w:name w:val="Основной текст с отступом 3 Знак"/>
    <w:basedOn w:val="a0"/>
    <w:link w:val="3"/>
    <w:rsid w:val="00A26954"/>
    <w:rPr>
      <w:sz w:val="16"/>
      <w:szCs w:val="16"/>
    </w:rPr>
  </w:style>
  <w:style w:type="character" w:customStyle="1" w:styleId="iceouttxt">
    <w:name w:val="iceouttxt"/>
    <w:basedOn w:val="a0"/>
    <w:rsid w:val="005A36FC"/>
  </w:style>
  <w:style w:type="paragraph" w:customStyle="1" w:styleId="Default">
    <w:name w:val="Default"/>
    <w:rsid w:val="005A36FC"/>
    <w:pPr>
      <w:autoSpaceDE w:val="0"/>
      <w:autoSpaceDN w:val="0"/>
      <w:adjustRightInd w:val="0"/>
    </w:pPr>
    <w:rPr>
      <w:rFonts w:eastAsiaTheme="minorHAnsi"/>
      <w:color w:val="000000"/>
      <w:sz w:val="24"/>
      <w:szCs w:val="24"/>
      <w:lang w:eastAsia="en-US"/>
    </w:rPr>
  </w:style>
  <w:style w:type="character" w:customStyle="1" w:styleId="ConsPlusNormal0">
    <w:name w:val="ConsPlusNormal Знак"/>
    <w:basedOn w:val="a0"/>
    <w:link w:val="ConsPlusNormal"/>
    <w:rsid w:val="005A36FC"/>
    <w:rPr>
      <w:rFonts w:ascii="Arial" w:hAnsi="Arial" w:cs="Arial"/>
    </w:rPr>
  </w:style>
  <w:style w:type="paragraph" w:styleId="ac">
    <w:name w:val="Normal (Web)"/>
    <w:basedOn w:val="a"/>
    <w:uiPriority w:val="99"/>
    <w:unhideWhenUsed/>
    <w:rsid w:val="00BD3963"/>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1F"/>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681F"/>
    <w:pPr>
      <w:jc w:val="center"/>
    </w:pPr>
    <w:rPr>
      <w:b/>
      <w:bCs/>
      <w:sz w:val="22"/>
    </w:rPr>
  </w:style>
  <w:style w:type="paragraph" w:customStyle="1" w:styleId="a4">
    <w:name w:val="Знак Знак Знак Знак"/>
    <w:basedOn w:val="a"/>
    <w:rsid w:val="007024B1"/>
    <w:pPr>
      <w:spacing w:after="160" w:line="240" w:lineRule="exact"/>
    </w:pPr>
    <w:rPr>
      <w:rFonts w:ascii="Verdana" w:hAnsi="Verdana"/>
      <w:sz w:val="20"/>
      <w:szCs w:val="20"/>
      <w:lang w:val="en-US" w:eastAsia="en-US"/>
    </w:rPr>
  </w:style>
  <w:style w:type="paragraph" w:customStyle="1" w:styleId="ConsPlusNormal">
    <w:name w:val="ConsPlusNormal"/>
    <w:link w:val="ConsPlusNormal0"/>
    <w:qFormat/>
    <w:rsid w:val="00DB5528"/>
    <w:pPr>
      <w:autoSpaceDE w:val="0"/>
      <w:autoSpaceDN w:val="0"/>
      <w:adjustRightInd w:val="0"/>
      <w:ind w:firstLine="720"/>
    </w:pPr>
    <w:rPr>
      <w:rFonts w:ascii="Arial" w:hAnsi="Arial" w:cs="Arial"/>
    </w:rPr>
  </w:style>
  <w:style w:type="paragraph" w:styleId="a5">
    <w:name w:val="Balloon Text"/>
    <w:basedOn w:val="a"/>
    <w:semiHidden/>
    <w:rsid w:val="003A4A8A"/>
    <w:rPr>
      <w:rFonts w:ascii="Tahoma" w:hAnsi="Tahoma" w:cs="Tahoma"/>
      <w:sz w:val="16"/>
      <w:szCs w:val="16"/>
    </w:rPr>
  </w:style>
  <w:style w:type="character" w:customStyle="1" w:styleId="FontStyle27">
    <w:name w:val="Font Style27"/>
    <w:basedOn w:val="a0"/>
    <w:rsid w:val="0037685B"/>
    <w:rPr>
      <w:rFonts w:ascii="Times New Roman" w:hAnsi="Times New Roman" w:cs="Times New Roman"/>
      <w:sz w:val="26"/>
      <w:szCs w:val="26"/>
    </w:rPr>
  </w:style>
  <w:style w:type="paragraph" w:customStyle="1" w:styleId="Style1">
    <w:name w:val="Style1"/>
    <w:basedOn w:val="a"/>
    <w:uiPriority w:val="99"/>
    <w:rsid w:val="00B41B84"/>
    <w:pPr>
      <w:widowControl w:val="0"/>
      <w:autoSpaceDE w:val="0"/>
      <w:autoSpaceDN w:val="0"/>
      <w:adjustRightInd w:val="0"/>
      <w:spacing w:line="446" w:lineRule="exact"/>
      <w:ind w:firstLine="710"/>
      <w:jc w:val="both"/>
    </w:pPr>
    <w:rPr>
      <w:rFonts w:eastAsiaTheme="minorEastAsia"/>
      <w:sz w:val="24"/>
    </w:rPr>
  </w:style>
  <w:style w:type="paragraph" w:customStyle="1" w:styleId="Style4">
    <w:name w:val="Style4"/>
    <w:basedOn w:val="a"/>
    <w:uiPriority w:val="99"/>
    <w:rsid w:val="00B41B84"/>
    <w:pPr>
      <w:widowControl w:val="0"/>
      <w:autoSpaceDE w:val="0"/>
      <w:autoSpaceDN w:val="0"/>
      <w:adjustRightInd w:val="0"/>
      <w:spacing w:line="448" w:lineRule="exact"/>
      <w:ind w:firstLine="706"/>
      <w:jc w:val="both"/>
    </w:pPr>
    <w:rPr>
      <w:rFonts w:eastAsiaTheme="minorEastAsia"/>
      <w:sz w:val="24"/>
    </w:rPr>
  </w:style>
  <w:style w:type="paragraph" w:customStyle="1" w:styleId="Style6">
    <w:name w:val="Style6"/>
    <w:basedOn w:val="a"/>
    <w:uiPriority w:val="99"/>
    <w:rsid w:val="00B41B84"/>
    <w:pPr>
      <w:widowControl w:val="0"/>
      <w:autoSpaceDE w:val="0"/>
      <w:autoSpaceDN w:val="0"/>
      <w:adjustRightInd w:val="0"/>
    </w:pPr>
    <w:rPr>
      <w:rFonts w:eastAsiaTheme="minorEastAsia"/>
      <w:sz w:val="24"/>
    </w:rPr>
  </w:style>
  <w:style w:type="paragraph" w:customStyle="1" w:styleId="Style9">
    <w:name w:val="Style9"/>
    <w:basedOn w:val="a"/>
    <w:uiPriority w:val="99"/>
    <w:rsid w:val="00B41B84"/>
    <w:pPr>
      <w:widowControl w:val="0"/>
      <w:autoSpaceDE w:val="0"/>
      <w:autoSpaceDN w:val="0"/>
      <w:adjustRightInd w:val="0"/>
      <w:spacing w:line="442" w:lineRule="exact"/>
      <w:ind w:firstLine="706"/>
    </w:pPr>
    <w:rPr>
      <w:rFonts w:eastAsiaTheme="minorEastAsia"/>
      <w:sz w:val="24"/>
    </w:rPr>
  </w:style>
  <w:style w:type="paragraph" w:customStyle="1" w:styleId="Style10">
    <w:name w:val="Style10"/>
    <w:basedOn w:val="a"/>
    <w:uiPriority w:val="99"/>
    <w:rsid w:val="00B41B84"/>
    <w:pPr>
      <w:widowControl w:val="0"/>
      <w:autoSpaceDE w:val="0"/>
      <w:autoSpaceDN w:val="0"/>
      <w:adjustRightInd w:val="0"/>
      <w:spacing w:line="444" w:lineRule="exact"/>
      <w:ind w:firstLine="1440"/>
    </w:pPr>
    <w:rPr>
      <w:rFonts w:eastAsiaTheme="minorEastAsia"/>
      <w:sz w:val="24"/>
    </w:rPr>
  </w:style>
  <w:style w:type="paragraph" w:customStyle="1" w:styleId="Style11">
    <w:name w:val="Style11"/>
    <w:basedOn w:val="a"/>
    <w:uiPriority w:val="99"/>
    <w:rsid w:val="00B41B84"/>
    <w:pPr>
      <w:widowControl w:val="0"/>
      <w:autoSpaceDE w:val="0"/>
      <w:autoSpaceDN w:val="0"/>
      <w:adjustRightInd w:val="0"/>
      <w:spacing w:line="442" w:lineRule="exact"/>
      <w:jc w:val="both"/>
    </w:pPr>
    <w:rPr>
      <w:rFonts w:eastAsiaTheme="minorEastAsia"/>
      <w:sz w:val="24"/>
    </w:rPr>
  </w:style>
  <w:style w:type="paragraph" w:customStyle="1" w:styleId="Style12">
    <w:name w:val="Style12"/>
    <w:basedOn w:val="a"/>
    <w:uiPriority w:val="99"/>
    <w:rsid w:val="00B41B84"/>
    <w:pPr>
      <w:widowControl w:val="0"/>
      <w:autoSpaceDE w:val="0"/>
      <w:autoSpaceDN w:val="0"/>
      <w:adjustRightInd w:val="0"/>
      <w:spacing w:line="446" w:lineRule="exact"/>
    </w:pPr>
    <w:rPr>
      <w:rFonts w:eastAsiaTheme="minorEastAsia"/>
      <w:sz w:val="24"/>
    </w:rPr>
  </w:style>
  <w:style w:type="paragraph" w:customStyle="1" w:styleId="Style13">
    <w:name w:val="Style13"/>
    <w:basedOn w:val="a"/>
    <w:uiPriority w:val="99"/>
    <w:rsid w:val="00B41B84"/>
    <w:pPr>
      <w:widowControl w:val="0"/>
      <w:autoSpaceDE w:val="0"/>
      <w:autoSpaceDN w:val="0"/>
      <w:adjustRightInd w:val="0"/>
    </w:pPr>
    <w:rPr>
      <w:rFonts w:eastAsiaTheme="minorEastAsia"/>
      <w:sz w:val="24"/>
    </w:rPr>
  </w:style>
  <w:style w:type="character" w:customStyle="1" w:styleId="FontStyle19">
    <w:name w:val="Font Style19"/>
    <w:basedOn w:val="a0"/>
    <w:uiPriority w:val="99"/>
    <w:rsid w:val="00B41B84"/>
    <w:rPr>
      <w:rFonts w:ascii="Times New Roman" w:hAnsi="Times New Roman" w:cs="Times New Roman"/>
      <w:b/>
      <w:bCs/>
      <w:i/>
      <w:iCs/>
      <w:sz w:val="24"/>
      <w:szCs w:val="24"/>
    </w:rPr>
  </w:style>
  <w:style w:type="character" w:customStyle="1" w:styleId="FontStyle20">
    <w:name w:val="Font Style20"/>
    <w:basedOn w:val="a0"/>
    <w:uiPriority w:val="99"/>
    <w:rsid w:val="00B41B84"/>
    <w:rPr>
      <w:rFonts w:ascii="Times New Roman" w:hAnsi="Times New Roman" w:cs="Times New Roman"/>
      <w:sz w:val="24"/>
      <w:szCs w:val="24"/>
    </w:rPr>
  </w:style>
  <w:style w:type="character" w:styleId="a6">
    <w:name w:val="Hyperlink"/>
    <w:basedOn w:val="a0"/>
    <w:rsid w:val="00B41B84"/>
    <w:rPr>
      <w:color w:val="0000FF" w:themeColor="hyperlink"/>
      <w:u w:val="single"/>
    </w:rPr>
  </w:style>
  <w:style w:type="paragraph" w:styleId="a7">
    <w:name w:val="header"/>
    <w:basedOn w:val="a"/>
    <w:link w:val="a8"/>
    <w:uiPriority w:val="99"/>
    <w:rsid w:val="00B41B84"/>
    <w:pPr>
      <w:tabs>
        <w:tab w:val="center" w:pos="4677"/>
        <w:tab w:val="right" w:pos="9355"/>
      </w:tabs>
    </w:pPr>
  </w:style>
  <w:style w:type="character" w:customStyle="1" w:styleId="a8">
    <w:name w:val="Верхний колонтитул Знак"/>
    <w:basedOn w:val="a0"/>
    <w:link w:val="a7"/>
    <w:uiPriority w:val="99"/>
    <w:rsid w:val="00B41B84"/>
    <w:rPr>
      <w:sz w:val="28"/>
      <w:szCs w:val="24"/>
    </w:rPr>
  </w:style>
  <w:style w:type="paragraph" w:styleId="a9">
    <w:name w:val="footer"/>
    <w:basedOn w:val="a"/>
    <w:link w:val="aa"/>
    <w:rsid w:val="00B41B84"/>
    <w:pPr>
      <w:tabs>
        <w:tab w:val="center" w:pos="4677"/>
        <w:tab w:val="right" w:pos="9355"/>
      </w:tabs>
    </w:pPr>
  </w:style>
  <w:style w:type="character" w:customStyle="1" w:styleId="aa">
    <w:name w:val="Нижний колонтитул Знак"/>
    <w:basedOn w:val="a0"/>
    <w:link w:val="a9"/>
    <w:rsid w:val="00B41B84"/>
    <w:rPr>
      <w:sz w:val="28"/>
      <w:szCs w:val="24"/>
    </w:rPr>
  </w:style>
  <w:style w:type="character" w:customStyle="1" w:styleId="fontstyle200">
    <w:name w:val="fontstyle20"/>
    <w:basedOn w:val="a0"/>
    <w:rsid w:val="00DE5C25"/>
  </w:style>
  <w:style w:type="paragraph" w:styleId="ab">
    <w:name w:val="List Paragraph"/>
    <w:basedOn w:val="a"/>
    <w:uiPriority w:val="34"/>
    <w:qFormat/>
    <w:rsid w:val="00DE5C25"/>
    <w:pPr>
      <w:ind w:left="720"/>
      <w:contextualSpacing/>
    </w:pPr>
  </w:style>
  <w:style w:type="paragraph" w:styleId="3">
    <w:name w:val="Body Text Indent 3"/>
    <w:basedOn w:val="a"/>
    <w:link w:val="30"/>
    <w:rsid w:val="00A26954"/>
    <w:pPr>
      <w:spacing w:after="120"/>
      <w:ind w:left="283"/>
    </w:pPr>
    <w:rPr>
      <w:sz w:val="16"/>
      <w:szCs w:val="16"/>
    </w:rPr>
  </w:style>
  <w:style w:type="character" w:customStyle="1" w:styleId="30">
    <w:name w:val="Основной текст с отступом 3 Знак"/>
    <w:basedOn w:val="a0"/>
    <w:link w:val="3"/>
    <w:rsid w:val="00A26954"/>
    <w:rPr>
      <w:sz w:val="16"/>
      <w:szCs w:val="16"/>
    </w:rPr>
  </w:style>
  <w:style w:type="character" w:customStyle="1" w:styleId="iceouttxt">
    <w:name w:val="iceouttxt"/>
    <w:basedOn w:val="a0"/>
    <w:rsid w:val="005A36FC"/>
  </w:style>
  <w:style w:type="paragraph" w:customStyle="1" w:styleId="Default">
    <w:name w:val="Default"/>
    <w:rsid w:val="005A36FC"/>
    <w:pPr>
      <w:autoSpaceDE w:val="0"/>
      <w:autoSpaceDN w:val="0"/>
      <w:adjustRightInd w:val="0"/>
    </w:pPr>
    <w:rPr>
      <w:rFonts w:eastAsiaTheme="minorHAnsi"/>
      <w:color w:val="000000"/>
      <w:sz w:val="24"/>
      <w:szCs w:val="24"/>
      <w:lang w:eastAsia="en-US"/>
    </w:rPr>
  </w:style>
  <w:style w:type="character" w:customStyle="1" w:styleId="ConsPlusNormal0">
    <w:name w:val="ConsPlusNormal Знак"/>
    <w:basedOn w:val="a0"/>
    <w:link w:val="ConsPlusNormal"/>
    <w:rsid w:val="005A36FC"/>
    <w:rPr>
      <w:rFonts w:ascii="Arial" w:hAnsi="Arial" w:cs="Arial"/>
    </w:rPr>
  </w:style>
  <w:style w:type="paragraph" w:styleId="ac">
    <w:name w:val="Normal (Web)"/>
    <w:basedOn w:val="a"/>
    <w:uiPriority w:val="99"/>
    <w:unhideWhenUsed/>
    <w:rsid w:val="00BD3963"/>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26096601">
      <w:bodyDiv w:val="1"/>
      <w:marLeft w:val="0"/>
      <w:marRight w:val="0"/>
      <w:marTop w:val="0"/>
      <w:marBottom w:val="0"/>
      <w:divBdr>
        <w:top w:val="none" w:sz="0" w:space="0" w:color="auto"/>
        <w:left w:val="none" w:sz="0" w:space="0" w:color="auto"/>
        <w:bottom w:val="none" w:sz="0" w:space="0" w:color="auto"/>
        <w:right w:val="none" w:sz="0" w:space="0" w:color="auto"/>
      </w:divBdr>
    </w:div>
    <w:div w:id="1157304387">
      <w:bodyDiv w:val="1"/>
      <w:marLeft w:val="0"/>
      <w:marRight w:val="0"/>
      <w:marTop w:val="0"/>
      <w:marBottom w:val="0"/>
      <w:divBdr>
        <w:top w:val="none" w:sz="0" w:space="0" w:color="auto"/>
        <w:left w:val="none" w:sz="0" w:space="0" w:color="auto"/>
        <w:bottom w:val="none" w:sz="0" w:space="0" w:color="auto"/>
        <w:right w:val="none" w:sz="0" w:space="0" w:color="auto"/>
      </w:divBdr>
    </w:div>
    <w:div w:id="1341739610">
      <w:bodyDiv w:val="1"/>
      <w:marLeft w:val="0"/>
      <w:marRight w:val="0"/>
      <w:marTop w:val="0"/>
      <w:marBottom w:val="0"/>
      <w:divBdr>
        <w:top w:val="none" w:sz="0" w:space="0" w:color="auto"/>
        <w:left w:val="none" w:sz="0" w:space="0" w:color="auto"/>
        <w:bottom w:val="none" w:sz="0" w:space="0" w:color="auto"/>
        <w:right w:val="none" w:sz="0" w:space="0" w:color="auto"/>
      </w:divBdr>
    </w:div>
    <w:div w:id="1403602329">
      <w:bodyDiv w:val="1"/>
      <w:marLeft w:val="0"/>
      <w:marRight w:val="0"/>
      <w:marTop w:val="0"/>
      <w:marBottom w:val="0"/>
      <w:divBdr>
        <w:top w:val="none" w:sz="0" w:space="0" w:color="auto"/>
        <w:left w:val="none" w:sz="0" w:space="0" w:color="auto"/>
        <w:bottom w:val="none" w:sz="0" w:space="0" w:color="auto"/>
        <w:right w:val="none" w:sz="0" w:space="0" w:color="auto"/>
      </w:divBdr>
    </w:div>
    <w:div w:id="1697728667">
      <w:bodyDiv w:val="1"/>
      <w:marLeft w:val="0"/>
      <w:marRight w:val="0"/>
      <w:marTop w:val="0"/>
      <w:marBottom w:val="0"/>
      <w:divBdr>
        <w:top w:val="none" w:sz="0" w:space="0" w:color="auto"/>
        <w:left w:val="none" w:sz="0" w:space="0" w:color="auto"/>
        <w:bottom w:val="none" w:sz="0" w:space="0" w:color="auto"/>
        <w:right w:val="none" w:sz="0" w:space="0" w:color="auto"/>
      </w:divBdr>
    </w:div>
    <w:div w:id="1727101337">
      <w:bodyDiv w:val="1"/>
      <w:marLeft w:val="0"/>
      <w:marRight w:val="0"/>
      <w:marTop w:val="0"/>
      <w:marBottom w:val="0"/>
      <w:divBdr>
        <w:top w:val="none" w:sz="0" w:space="0" w:color="auto"/>
        <w:left w:val="none" w:sz="0" w:space="0" w:color="auto"/>
        <w:bottom w:val="none" w:sz="0" w:space="0" w:color="auto"/>
        <w:right w:val="none" w:sz="0" w:space="0" w:color="auto"/>
      </w:divBdr>
    </w:div>
    <w:div w:id="21245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volga.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55E5B-12F0-42AD-8EA4-91AFB865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7</Pages>
  <Words>3117</Words>
  <Characters>17770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Волгоградское УФАС России</Company>
  <LinksUpToDate>false</LinksUpToDate>
  <CharactersWithSpaces>20846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kosiak</dc:creator>
  <cp:lastModifiedBy>to34-jakeeva</cp:lastModifiedBy>
  <cp:revision>60</cp:revision>
  <cp:lastPrinted>2020-02-14T05:54:00Z</cp:lastPrinted>
  <dcterms:created xsi:type="dcterms:W3CDTF">2020-02-05T12:16:00Z</dcterms:created>
  <dcterms:modified xsi:type="dcterms:W3CDTF">2020-02-14T05:54:00Z</dcterms:modified>
</cp:coreProperties>
</file>