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CC" w:rsidRDefault="00D262CC" w:rsidP="00D262C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Ответы на вопросы</w:t>
      </w:r>
      <w:r w:rsidRPr="008F6A54">
        <w:rPr>
          <w:rFonts w:ascii="Times New Roman" w:hAnsi="Times New Roman" w:cs="Times New Roman"/>
          <w:b/>
          <w:sz w:val="28"/>
          <w:szCs w:val="28"/>
        </w:rPr>
        <w:t>,</w:t>
      </w:r>
    </w:p>
    <w:p w:rsidR="00D262CC" w:rsidRDefault="00600D0F" w:rsidP="00D262C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поступившие на публичных обсуждениях</w:t>
      </w:r>
    </w:p>
    <w:p w:rsidR="00D262CC" w:rsidRDefault="00D262CC" w:rsidP="00D262C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Волгоградского УФАС России </w:t>
      </w:r>
      <w:r w:rsidRPr="008F6A54">
        <w:rPr>
          <w:rFonts w:ascii="Times New Roman" w:hAnsi="Times New Roman" w:cs="Times New Roman"/>
          <w:b/>
          <w:sz w:val="28"/>
          <w:szCs w:val="28"/>
        </w:rPr>
        <w:t>14.09.2017</w:t>
      </w:r>
    </w:p>
    <w:p w:rsidR="00D262CC" w:rsidRDefault="00D262CC" w:rsidP="00D262CC">
      <w:pPr>
        <w:spacing w:after="0" w:line="240" w:lineRule="auto"/>
        <w:ind w:firstLine="709"/>
        <w:jc w:val="center"/>
        <w:rPr>
          <w:rFonts w:ascii="Times New Roman" w:hAnsi="Times New Roman" w:cs="Times New Roman"/>
          <w:b/>
          <w:sz w:val="28"/>
          <w:szCs w:val="28"/>
        </w:rPr>
      </w:pPr>
    </w:p>
    <w:p w:rsidR="00D262CC" w:rsidRPr="00D262CC" w:rsidRDefault="00D262CC" w:rsidP="00D262CC">
      <w:pPr>
        <w:spacing w:after="0" w:line="240" w:lineRule="auto"/>
        <w:ind w:firstLine="709"/>
        <w:jc w:val="center"/>
        <w:rPr>
          <w:rFonts w:ascii="Times New Roman" w:hAnsi="Times New Roman" w:cs="Times New Roman"/>
          <w:b/>
          <w:sz w:val="26"/>
          <w:szCs w:val="26"/>
        </w:rPr>
      </w:pPr>
      <w:r w:rsidRPr="00D262CC">
        <w:rPr>
          <w:rFonts w:ascii="Times New Roman" w:hAnsi="Times New Roman" w:cs="Times New Roman"/>
          <w:b/>
          <w:sz w:val="26"/>
          <w:szCs w:val="26"/>
        </w:rPr>
        <w:t>Сфера антимонопольного контроля</w:t>
      </w:r>
    </w:p>
    <w:p w:rsidR="00D262CC" w:rsidRPr="00D262CC" w:rsidRDefault="00D262CC" w:rsidP="00D262CC">
      <w:pPr>
        <w:spacing w:after="0" w:line="240" w:lineRule="auto"/>
        <w:ind w:firstLine="709"/>
        <w:jc w:val="center"/>
        <w:rPr>
          <w:rFonts w:ascii="Times New Roman" w:hAnsi="Times New Roman" w:cs="Times New Roman"/>
          <w:b/>
          <w:sz w:val="26"/>
          <w:szCs w:val="26"/>
        </w:rPr>
      </w:pPr>
      <w:r w:rsidRPr="00D262CC">
        <w:rPr>
          <w:rFonts w:ascii="Times New Roman" w:hAnsi="Times New Roman" w:cs="Times New Roman"/>
          <w:b/>
          <w:sz w:val="26"/>
          <w:szCs w:val="26"/>
        </w:rPr>
        <w:t>и контроля порядка техприсоединения</w:t>
      </w:r>
    </w:p>
    <w:p w:rsidR="00D262CC" w:rsidRPr="00D262CC" w:rsidRDefault="00D262CC" w:rsidP="00D262CC">
      <w:pPr>
        <w:spacing w:after="0" w:line="240" w:lineRule="auto"/>
        <w:ind w:firstLine="709"/>
        <w:jc w:val="center"/>
        <w:rPr>
          <w:rFonts w:ascii="Times New Roman" w:hAnsi="Times New Roman" w:cs="Times New Roman"/>
          <w:b/>
          <w:sz w:val="26"/>
          <w:szCs w:val="26"/>
        </w:rPr>
      </w:pP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При формировании договора об осуществлении технологического присоединения сетевая организация определили мероприятия, выполняемые ею и заявителем, а также произвела расчет платы с применением ставки за 1 кВт мощности.</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Заявитель с расчетом не согласился и обратился в сетевую организация за расчетом платы с применением стандартизированных ставок (т.е. за 1 км линии), иных возражений к проекту договора заявлено не было.</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Вправе ли сетевая организация не только изменить расчет платы, но и изменить технические условия в части мероприятий, возложенных на сетевую организация. (точки присоединения, объем строительства)?</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В соответствии с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 861 от 27.12.2004, далее – Правила технологического присоединения)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color w:val="222222"/>
          <w:sz w:val="26"/>
          <w:szCs w:val="26"/>
          <w:shd w:val="clear" w:color="auto" w:fill="FFFFFF"/>
        </w:rPr>
      </w:pPr>
      <w:r w:rsidRPr="00D262CC">
        <w:rPr>
          <w:rFonts w:ascii="Times New Roman" w:hAnsi="Times New Roman" w:cs="Times New Roman"/>
          <w:color w:val="222222"/>
          <w:sz w:val="26"/>
          <w:szCs w:val="26"/>
          <w:shd w:val="clear" w:color="auto" w:fill="FFFFFF"/>
        </w:rPr>
        <w:t>Расчет платы за технологическое присоединение может быть произведен с использованием стандартизированных ставок на строительство энергообъектов или типовых тарифов на техприсоединение.</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color w:val="222222"/>
          <w:sz w:val="26"/>
          <w:szCs w:val="26"/>
          <w:shd w:val="clear" w:color="auto" w:fill="FFFFFF"/>
        </w:rPr>
        <w:t xml:space="preserve">В соответствии с п. 12(1) Правил технологического присоединения в заявке </w:t>
      </w:r>
      <w:r w:rsidRPr="00D262CC">
        <w:rPr>
          <w:rFonts w:ascii="Times New Roman" w:hAnsi="Times New Roman" w:cs="Times New Roman"/>
          <w:sz w:val="26"/>
          <w:szCs w:val="26"/>
        </w:rPr>
        <w:t xml:space="preserve">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указывается предложения по порядку расчетов и условиям рассрочки платежа за технологическое присоединение. </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Таким образом, заявителю принадлежит право выбора способа расчета платы за технологическое присоединение.</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Схема присоединения объектов заявителя определяется исключительно сетевой организацией. Перечень мероприятий по технологическому присоединению определяется в технических условиях, являющихся неотъемлемой частью договора. Расчет платы </w:t>
      </w:r>
      <w:r w:rsidRPr="00D262CC">
        <w:rPr>
          <w:rFonts w:ascii="Times New Roman" w:hAnsi="Times New Roman" w:cs="Times New Roman"/>
          <w:color w:val="222222"/>
          <w:sz w:val="26"/>
          <w:szCs w:val="26"/>
          <w:shd w:val="clear" w:color="auto" w:fill="FFFFFF"/>
        </w:rPr>
        <w:t xml:space="preserve">с использованием стандартизированных ставок на строительство энергообъектов </w:t>
      </w:r>
      <w:r w:rsidRPr="00D262CC">
        <w:rPr>
          <w:rFonts w:ascii="Times New Roman" w:hAnsi="Times New Roman" w:cs="Times New Roman"/>
          <w:sz w:val="26"/>
          <w:szCs w:val="26"/>
        </w:rPr>
        <w:t xml:space="preserve">формируется исходя из перечня мероприятий, указанных в технических условиях. Вместе с тем, считаем недопустимым изменение технических условий в части мероприятий, возложенных на сетевую организация (точки присоединения, объем строительства) по сравнению к ранее выданным, если такое изменение приводит к увеличению итоговой платы за технологическое присоединение. Такие действия сетевой организации, прямо не противоречащие правилам технологического присоединения, вместе  с тем будут </w:t>
      </w:r>
      <w:r w:rsidRPr="00D262CC">
        <w:rPr>
          <w:rFonts w:ascii="Times New Roman" w:hAnsi="Times New Roman" w:cs="Times New Roman"/>
          <w:sz w:val="26"/>
          <w:szCs w:val="26"/>
        </w:rPr>
        <w:lastRenderedPageBreak/>
        <w:t>ущемлять интересы заявителя и содержать в себе признаки нарушения статьи 10 Федерального закона 26.07.2006 N 135-ФЗ"О защите конкуренции".</w:t>
      </w:r>
    </w:p>
    <w:p w:rsidR="0014390B" w:rsidRPr="00D262CC" w:rsidRDefault="0014390B" w:rsidP="0014390B">
      <w:pPr>
        <w:spacing w:after="0" w:line="240" w:lineRule="auto"/>
        <w:ind w:firstLine="709"/>
        <w:jc w:val="both"/>
        <w:rPr>
          <w:rFonts w:ascii="Times New Roman" w:hAnsi="Times New Roman" w:cs="Times New Roman"/>
          <w:sz w:val="26"/>
          <w:szCs w:val="26"/>
        </w:rPr>
      </w:pP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Сетевая организация по договорам аренды владеет объектами электросетевого хозяйства. Обязана ли она осуществлять технологическое присоединение по заявкам в случае, если условием договора  аренды установлен запрет арендодателем на осуществление технологического присоединения?</w:t>
      </w:r>
    </w:p>
    <w:p w:rsidR="0014390B" w:rsidRPr="00D262CC" w:rsidRDefault="0014390B" w:rsidP="0014390B">
      <w:pPr>
        <w:spacing w:after="0" w:line="240" w:lineRule="auto"/>
        <w:ind w:firstLine="709"/>
        <w:jc w:val="both"/>
        <w:rPr>
          <w:rFonts w:ascii="Times New Roman" w:hAnsi="Times New Roman" w:cs="Times New Roman"/>
          <w:sz w:val="26"/>
          <w:szCs w:val="26"/>
        </w:rPr>
      </w:pP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В соответствии с п. 3 Правил технологического присоединения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Сетевыми организациями признаются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4" w:history="1">
        <w:r w:rsidRPr="00D262CC">
          <w:rPr>
            <w:rFonts w:ascii="Times New Roman" w:hAnsi="Times New Roman" w:cs="Times New Roman"/>
            <w:sz w:val="26"/>
            <w:szCs w:val="26"/>
          </w:rPr>
          <w:t>порядке</w:t>
        </w:r>
      </w:hyperlink>
      <w:r w:rsidRPr="00D262CC">
        <w:rPr>
          <w:rFonts w:ascii="Times New Roman" w:hAnsi="Times New Roman" w:cs="Times New Roman"/>
          <w:sz w:val="26"/>
          <w:szCs w:val="26"/>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Согласно ст. 615 Гражданского Кодекса РФ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С учетом вышеизложенного, полагаем, что сетевая организация в нарушение требований договоров аренды не вправе заключать договоры технологического присоединения. </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Несоответствие сроков технологического присоединения с реальными сроками исполнения обязательств (длительные сроки согласования со стороны организации,  а также процедуры проведения ТЗП) и т.д.</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Предельные сроки осуществления мероприятий по технологическому присоединению определены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 861 от 27.12.2004, далее – Правила технологического присоединения). Приведение сроков в соответствии реальным возможно путем внесения соответствующих изменений в законодательные акты.</w:t>
      </w:r>
    </w:p>
    <w:p w:rsidR="00D262CC" w:rsidRPr="00D262CC" w:rsidRDefault="00D262CC" w:rsidP="00D262CC">
      <w:pPr>
        <w:rPr>
          <w:sz w:val="26"/>
          <w:szCs w:val="26"/>
        </w:rPr>
      </w:pPr>
    </w:p>
    <w:p w:rsidR="00D262CC" w:rsidRPr="00D262CC" w:rsidRDefault="00D262CC" w:rsidP="00D262CC">
      <w:pPr>
        <w:autoSpaceDE w:val="0"/>
        <w:autoSpaceDN w:val="0"/>
        <w:adjustRightInd w:val="0"/>
        <w:spacing w:after="0" w:line="240" w:lineRule="auto"/>
        <w:ind w:firstLine="540"/>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Прокомментируйте ситуацию с маршрутками в г. Волгограде.</w:t>
      </w:r>
    </w:p>
    <w:p w:rsidR="00D262CC" w:rsidRPr="00D262CC" w:rsidRDefault="00D262CC" w:rsidP="00D262CC">
      <w:pPr>
        <w:autoSpaceDE w:val="0"/>
        <w:autoSpaceDN w:val="0"/>
        <w:adjustRightInd w:val="0"/>
        <w:spacing w:after="0" w:line="240" w:lineRule="auto"/>
        <w:ind w:firstLine="540"/>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Предупреждение, вынесенное Волгоградским УФАС России об отмене отмены маршрутов Волгограда, не поддержано ни Волгоградским арбитражным судом, ни апелляционной инстанцией в Саратове. Волгоградским Документом планирования отменено 87 муниципальных маршрутов. Арбитражный суд </w:t>
      </w:r>
      <w:r w:rsidRPr="00D262CC">
        <w:rPr>
          <w:rFonts w:ascii="Times New Roman" w:hAnsi="Times New Roman" w:cs="Times New Roman"/>
          <w:sz w:val="26"/>
          <w:szCs w:val="26"/>
        </w:rPr>
        <w:lastRenderedPageBreak/>
        <w:t>Волгоградской области, отменяя предупреждение, руководствовался лишь решением районного суда об отсутствии нарушения антимонопольного законодательства. При этом Волгоградское УФАС России районным судом в дело не привлекалось, мнения его не запрашивалось. В настоящее время Управлением готовится кассационная жалоба в Арбитражный суд Поволжского округа.</w:t>
      </w:r>
    </w:p>
    <w:p w:rsidR="0014390B" w:rsidRDefault="0014390B" w:rsidP="0014390B">
      <w:pPr>
        <w:spacing w:after="0" w:line="240" w:lineRule="auto"/>
        <w:ind w:firstLine="709"/>
        <w:jc w:val="both"/>
        <w:rPr>
          <w:rFonts w:ascii="Times New Roman" w:hAnsi="Times New Roman" w:cs="Times New Roman"/>
          <w:sz w:val="26"/>
          <w:szCs w:val="26"/>
        </w:rPr>
      </w:pPr>
    </w:p>
    <w:p w:rsidR="00270776" w:rsidRPr="00D262CC" w:rsidRDefault="00270776" w:rsidP="00270776">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Применяется ли риск-ориентированный подход к плановым проверкам органов власти по фактам необоснованного препятствования предпринимательской деятельности.</w:t>
      </w:r>
    </w:p>
    <w:p w:rsidR="00270776" w:rsidRPr="00D262CC" w:rsidRDefault="00270776" w:rsidP="00270776">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w:t>
      </w:r>
      <w:r w:rsidRPr="00D262CC">
        <w:rPr>
          <w:rStyle w:val="FontStyle36"/>
        </w:rPr>
        <w:t xml:space="preserve">Постановлением Правительства Российской Федерации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которые </w:t>
      </w:r>
      <w:r w:rsidRPr="00D262CC">
        <w:rPr>
          <w:rFonts w:ascii="Times New Roman" w:hAnsi="Times New Roman" w:cs="Times New Roman"/>
          <w:sz w:val="26"/>
          <w:szCs w:val="26"/>
        </w:rPr>
        <w:t>устанавливают порядок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обозначаемому как классы опасности или категории опасности.</w:t>
      </w:r>
    </w:p>
    <w:p w:rsidR="00270776" w:rsidRPr="00D262CC" w:rsidRDefault="00270776" w:rsidP="00270776">
      <w:pPr>
        <w:autoSpaceDE w:val="0"/>
        <w:autoSpaceDN w:val="0"/>
        <w:adjustRightInd w:val="0"/>
        <w:spacing w:after="0" w:line="240" w:lineRule="auto"/>
        <w:ind w:firstLine="540"/>
        <w:jc w:val="both"/>
        <w:rPr>
          <w:rStyle w:val="FontStyle36"/>
        </w:rPr>
      </w:pPr>
      <w:r w:rsidRPr="00D262CC">
        <w:rPr>
          <w:rStyle w:val="FontStyle36"/>
        </w:rPr>
        <w:t xml:space="preserve">Антимонопольным органом проводятся плановые проверки юридических лиц, индивидуальных предпринимателей, органов государственной власти и органов местного самоуправления. </w:t>
      </w:r>
    </w:p>
    <w:p w:rsidR="00270776" w:rsidRPr="00D262CC" w:rsidRDefault="00270776" w:rsidP="00270776">
      <w:pPr>
        <w:autoSpaceDE w:val="0"/>
        <w:autoSpaceDN w:val="0"/>
        <w:adjustRightInd w:val="0"/>
        <w:spacing w:after="0" w:line="240" w:lineRule="auto"/>
        <w:ind w:firstLine="540"/>
        <w:jc w:val="both"/>
        <w:rPr>
          <w:rFonts w:ascii="Times New Roman" w:hAnsi="Times New Roman" w:cs="Times New Roman"/>
          <w:sz w:val="26"/>
          <w:szCs w:val="26"/>
        </w:rPr>
      </w:pPr>
      <w:r w:rsidRPr="00D262CC">
        <w:rPr>
          <w:rFonts w:ascii="Times New Roman" w:hAnsi="Times New Roman" w:cs="Times New Roman"/>
          <w:sz w:val="26"/>
          <w:szCs w:val="26"/>
        </w:rPr>
        <w:t>Органы местного самоуправления не являются хозяйствующими субъектами в понимании ст. 4 Федерального закона от 26.07.2006 № 135-ФЗ «О защите конкуренции», в связи с чем при планировании проверок проводимых в отношении органов местного самоуправления</w:t>
      </w:r>
      <w:r w:rsidRPr="00D262CC">
        <w:rPr>
          <w:rStyle w:val="FontStyle36"/>
        </w:rPr>
        <w:t xml:space="preserve"> риск-ориентированный подход</w:t>
      </w:r>
      <w:r w:rsidRPr="00D262CC">
        <w:rPr>
          <w:rFonts w:ascii="Times New Roman" w:hAnsi="Times New Roman" w:cs="Times New Roman"/>
          <w:sz w:val="26"/>
          <w:szCs w:val="26"/>
        </w:rPr>
        <w:t xml:space="preserve"> не применяется.</w:t>
      </w:r>
    </w:p>
    <w:p w:rsidR="00270776" w:rsidRPr="00D262CC" w:rsidRDefault="00270776" w:rsidP="00270776">
      <w:pPr>
        <w:spacing w:after="0" w:line="240" w:lineRule="auto"/>
        <w:ind w:firstLine="709"/>
        <w:jc w:val="both"/>
        <w:rPr>
          <w:rFonts w:ascii="Times New Roman" w:hAnsi="Times New Roman" w:cs="Times New Roman"/>
          <w:sz w:val="26"/>
          <w:szCs w:val="26"/>
        </w:rPr>
      </w:pPr>
    </w:p>
    <w:p w:rsidR="00D262CC" w:rsidRDefault="00D262CC" w:rsidP="00D262CC">
      <w:pPr>
        <w:spacing w:after="0" w:line="240" w:lineRule="auto"/>
        <w:ind w:firstLine="709"/>
        <w:jc w:val="center"/>
        <w:rPr>
          <w:rFonts w:ascii="Times New Roman" w:hAnsi="Times New Roman" w:cs="Times New Roman"/>
          <w:b/>
          <w:sz w:val="26"/>
          <w:szCs w:val="26"/>
        </w:rPr>
      </w:pPr>
      <w:r w:rsidRPr="00D262CC">
        <w:rPr>
          <w:rFonts w:ascii="Times New Roman" w:hAnsi="Times New Roman" w:cs="Times New Roman"/>
          <w:b/>
          <w:sz w:val="26"/>
          <w:szCs w:val="26"/>
        </w:rPr>
        <w:t>Контроль рекламы</w:t>
      </w:r>
    </w:p>
    <w:p w:rsidR="00D262CC" w:rsidRPr="00D262CC" w:rsidRDefault="00D262CC" w:rsidP="00D262CC">
      <w:pPr>
        <w:spacing w:after="0" w:line="240" w:lineRule="auto"/>
        <w:ind w:firstLine="709"/>
        <w:jc w:val="center"/>
        <w:rPr>
          <w:rFonts w:ascii="Times New Roman" w:hAnsi="Times New Roman" w:cs="Times New Roman"/>
          <w:b/>
          <w:sz w:val="26"/>
          <w:szCs w:val="26"/>
        </w:rPr>
      </w:pP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Будет ли нарушением размещение знака «Безалкогольное пиво» в рекламе продукции с содержанием этилового спирта более 5% , но при этом не являющейся алкогольной продукцией?</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В настоящее время специальные требования к рекламе алкогольной продукции (в т. ч. и пива) установлены статьей 21 Федерального закона от 13.03.2006 N 38-ФЗ (ред. от 29.07.2017) "О рекламе" (далее - Закон о рекламе).</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Согласно </w:t>
      </w:r>
      <w:hyperlink r:id="rId5" w:history="1">
        <w:r w:rsidRPr="00D262CC">
          <w:rPr>
            <w:rFonts w:ascii="Times New Roman" w:hAnsi="Times New Roman" w:cs="Times New Roman"/>
            <w:color w:val="0000FF"/>
            <w:sz w:val="26"/>
            <w:szCs w:val="26"/>
          </w:rPr>
          <w:t>пункту 7 статьи 2</w:t>
        </w:r>
      </w:hyperlink>
      <w:r w:rsidRPr="00D262CC">
        <w:rPr>
          <w:rFonts w:ascii="Times New Roman" w:hAnsi="Times New Roman" w:cs="Times New Roman"/>
          <w:sz w:val="26"/>
          <w:szCs w:val="26"/>
        </w:rPr>
        <w:t xml:space="preserve"> Федерального закона "О государственном регулировании производства и оборота этилового спирта, алкогольной и спиртосодержащей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w:t>
      </w:r>
      <w:r w:rsidRPr="00D262CC">
        <w:rPr>
          <w:rFonts w:ascii="Times New Roman" w:hAnsi="Times New Roman" w:cs="Times New Roman"/>
          <w:sz w:val="26"/>
          <w:szCs w:val="26"/>
          <w:u w:val="single"/>
        </w:rPr>
        <w:t>с содержанием этилового спирта более 0,5 процента объема готовой продукции</w:t>
      </w:r>
      <w:r w:rsidRPr="00D262CC">
        <w:rPr>
          <w:rFonts w:ascii="Times New Roman" w:hAnsi="Times New Roman" w:cs="Times New Roman"/>
          <w:sz w:val="26"/>
          <w:szCs w:val="26"/>
        </w:rPr>
        <w:t xml:space="preserve">, </w:t>
      </w:r>
      <w:r w:rsidRPr="00D262CC">
        <w:rPr>
          <w:rFonts w:ascii="Times New Roman" w:hAnsi="Times New Roman" w:cs="Times New Roman"/>
          <w:sz w:val="26"/>
          <w:szCs w:val="26"/>
          <w:u w:val="single"/>
        </w:rPr>
        <w:t>за исключением</w:t>
      </w:r>
      <w:r w:rsidRPr="00D262CC">
        <w:rPr>
          <w:rFonts w:ascii="Times New Roman" w:hAnsi="Times New Roman" w:cs="Times New Roman"/>
          <w:sz w:val="26"/>
          <w:szCs w:val="26"/>
        </w:rPr>
        <w:t xml:space="preserve"> пищевой продукции в соответствии с перечнем, </w:t>
      </w:r>
      <w:r w:rsidRPr="00D262CC">
        <w:rPr>
          <w:rFonts w:ascii="Times New Roman" w:hAnsi="Times New Roman" w:cs="Times New Roman"/>
          <w:sz w:val="26"/>
          <w:szCs w:val="26"/>
          <w:u w:val="single"/>
        </w:rPr>
        <w:t>установленным Правительством</w:t>
      </w:r>
      <w:r w:rsidRPr="00D262CC">
        <w:rPr>
          <w:rFonts w:ascii="Times New Roman" w:hAnsi="Times New Roman" w:cs="Times New Roman"/>
          <w:sz w:val="26"/>
          <w:szCs w:val="26"/>
        </w:rPr>
        <w:t xml:space="preserve"> Российской Федерации.</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w:t>
      </w:r>
      <w:r w:rsidRPr="00D262CC">
        <w:rPr>
          <w:rFonts w:ascii="Times New Roman" w:hAnsi="Times New Roman" w:cs="Times New Roman"/>
          <w:sz w:val="26"/>
          <w:szCs w:val="26"/>
          <w:u w:val="single"/>
        </w:rPr>
        <w:t>, пиво</w:t>
      </w:r>
      <w:r w:rsidRPr="00D262CC">
        <w:rPr>
          <w:rFonts w:ascii="Times New Roman" w:hAnsi="Times New Roman" w:cs="Times New Roman"/>
          <w:sz w:val="26"/>
          <w:szCs w:val="26"/>
        </w:rPr>
        <w:t xml:space="preserve"> и напитки, изготавливаемые на основе пива.</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Постановлением Правительства РФ от 28.06.2012 N 656 (ред. от 18.03.2014) установлен перечнь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 куда </w:t>
      </w:r>
      <w:r w:rsidRPr="00D262CC">
        <w:rPr>
          <w:rFonts w:ascii="Times New Roman" w:hAnsi="Times New Roman" w:cs="Times New Roman"/>
          <w:sz w:val="26"/>
          <w:szCs w:val="26"/>
          <w:u w:val="single"/>
        </w:rPr>
        <w:t>в том числе</w:t>
      </w:r>
      <w:r w:rsidRPr="00D262CC">
        <w:rPr>
          <w:rFonts w:ascii="Times New Roman" w:hAnsi="Times New Roman" w:cs="Times New Roman"/>
          <w:sz w:val="26"/>
          <w:szCs w:val="26"/>
        </w:rPr>
        <w:t xml:space="preserve"> входит:</w:t>
      </w:r>
    </w:p>
    <w:tbl>
      <w:tblPr>
        <w:tblW w:w="9923" w:type="dxa"/>
        <w:tblInd w:w="62" w:type="dxa"/>
        <w:tblLayout w:type="fixed"/>
        <w:tblCellMar>
          <w:top w:w="102" w:type="dxa"/>
          <w:left w:w="62" w:type="dxa"/>
          <w:bottom w:w="102" w:type="dxa"/>
          <w:right w:w="62" w:type="dxa"/>
        </w:tblCellMar>
        <w:tblLook w:val="0000"/>
      </w:tblPr>
      <w:tblGrid>
        <w:gridCol w:w="4535"/>
        <w:gridCol w:w="2551"/>
        <w:gridCol w:w="2837"/>
      </w:tblGrid>
      <w:tr w:rsidR="0014390B" w:rsidRPr="00D262CC" w:rsidTr="00AE6E66">
        <w:tc>
          <w:tcPr>
            <w:tcW w:w="4535"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 xml:space="preserve">Наименование </w:t>
            </w:r>
          </w:p>
        </w:tc>
        <w:tc>
          <w:tcPr>
            <w:tcW w:w="2551"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 xml:space="preserve">Код Общероссийского </w:t>
            </w:r>
            <w:hyperlink r:id="rId6" w:history="1">
              <w:r w:rsidRPr="00D262CC">
                <w:rPr>
                  <w:rStyle w:val="a3"/>
                  <w:sz w:val="26"/>
                  <w:szCs w:val="26"/>
                </w:rPr>
                <w:t>классификатора</w:t>
              </w:r>
            </w:hyperlink>
            <w:r w:rsidRPr="00D262CC">
              <w:rPr>
                <w:rFonts w:ascii="Times New Roman" w:hAnsi="Times New Roman"/>
                <w:sz w:val="26"/>
                <w:szCs w:val="26"/>
              </w:rPr>
              <w:t xml:space="preserve"> продукции (ОК 005-93) </w:t>
            </w:r>
          </w:p>
        </w:tc>
        <w:tc>
          <w:tcPr>
            <w:tcW w:w="2837"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 xml:space="preserve">Код Товарной номенклатуры внешнеэкономической деятельности Таможенного союза </w:t>
            </w:r>
            <w:hyperlink r:id="rId7" w:history="1">
              <w:r w:rsidRPr="00D262CC">
                <w:rPr>
                  <w:rStyle w:val="a3"/>
                  <w:sz w:val="26"/>
                  <w:szCs w:val="26"/>
                </w:rPr>
                <w:t xml:space="preserve">(ТН ВЭД ТС) </w:t>
              </w:r>
            </w:hyperlink>
          </w:p>
        </w:tc>
      </w:tr>
      <w:tr w:rsidR="0014390B" w:rsidRPr="00D262CC" w:rsidTr="00AE6E66">
        <w:tc>
          <w:tcPr>
            <w:tcW w:w="4535"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 xml:space="preserve">Напитки брожения, квасы и напитки с содержанием этилового спирта </w:t>
            </w:r>
            <w:r w:rsidRPr="00D262CC">
              <w:rPr>
                <w:rFonts w:ascii="Times New Roman" w:hAnsi="Times New Roman"/>
                <w:sz w:val="26"/>
                <w:szCs w:val="26"/>
                <w:u w:val="single"/>
              </w:rPr>
              <w:t>от 0,5 до 1,2 процента включительно</w:t>
            </w:r>
          </w:p>
        </w:tc>
        <w:tc>
          <w:tcPr>
            <w:tcW w:w="2551"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91 8515</w:t>
            </w:r>
          </w:p>
        </w:tc>
        <w:tc>
          <w:tcPr>
            <w:tcW w:w="2837" w:type="dxa"/>
            <w:tcBorders>
              <w:top w:val="single" w:sz="4" w:space="0" w:color="auto"/>
              <w:bottom w:val="single" w:sz="4" w:space="0" w:color="auto"/>
            </w:tcBorders>
          </w:tcPr>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2206 00 390 1,</w:t>
            </w:r>
          </w:p>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2206 00 590 1,</w:t>
            </w:r>
          </w:p>
          <w:p w:rsidR="0014390B" w:rsidRPr="00D262CC" w:rsidRDefault="0014390B" w:rsidP="00AE6E66">
            <w:pPr>
              <w:autoSpaceDE w:val="0"/>
              <w:autoSpaceDN w:val="0"/>
              <w:adjustRightInd w:val="0"/>
              <w:spacing w:after="0" w:line="240" w:lineRule="auto"/>
              <w:ind w:firstLine="709"/>
              <w:jc w:val="both"/>
              <w:rPr>
                <w:rFonts w:ascii="Times New Roman" w:hAnsi="Times New Roman"/>
                <w:sz w:val="26"/>
                <w:szCs w:val="26"/>
              </w:rPr>
            </w:pPr>
            <w:r w:rsidRPr="00D262CC">
              <w:rPr>
                <w:rFonts w:ascii="Times New Roman" w:hAnsi="Times New Roman"/>
                <w:sz w:val="26"/>
                <w:szCs w:val="26"/>
              </w:rPr>
              <w:t>2206 00 890 1</w:t>
            </w:r>
          </w:p>
        </w:tc>
      </w:tr>
    </w:tbl>
    <w:p w:rsidR="0014390B" w:rsidRPr="00D262CC" w:rsidRDefault="0014390B" w:rsidP="0014390B">
      <w:pPr>
        <w:spacing w:after="0"/>
        <w:ind w:firstLine="709"/>
        <w:jc w:val="both"/>
        <w:rPr>
          <w:rFonts w:ascii="Times New Roman" w:hAnsi="Times New Roman"/>
          <w:sz w:val="26"/>
          <w:szCs w:val="26"/>
        </w:rPr>
      </w:pPr>
    </w:p>
    <w:p w:rsidR="0014390B" w:rsidRPr="00D262CC" w:rsidRDefault="0014390B" w:rsidP="0014390B">
      <w:pPr>
        <w:spacing w:after="0"/>
        <w:ind w:firstLine="709"/>
        <w:rPr>
          <w:rFonts w:ascii="Times New Roman" w:hAnsi="Times New Roman"/>
          <w:sz w:val="26"/>
          <w:szCs w:val="26"/>
        </w:rPr>
      </w:pPr>
      <w:r w:rsidRPr="00D262CC">
        <w:rPr>
          <w:rFonts w:ascii="Times New Roman" w:hAnsi="Times New Roman"/>
          <w:sz w:val="26"/>
          <w:szCs w:val="26"/>
        </w:rPr>
        <w:t xml:space="preserve">Ниже приведен перечень товаров, сооветсвующих указанным кодам ТН ВЭД ТС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603"/>
      </w:tblGrid>
      <w:tr w:rsidR="0014390B" w:rsidRPr="00D262CC" w:rsidTr="00AE6E66">
        <w:tc>
          <w:tcPr>
            <w:tcW w:w="2098" w:type="dxa"/>
            <w:tcBorders>
              <w:top w:val="single" w:sz="4" w:space="0" w:color="auto"/>
              <w:bottom w:val="nil"/>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w:t>
            </w:r>
          </w:p>
        </w:tc>
        <w:tc>
          <w:tcPr>
            <w:tcW w:w="7603" w:type="dxa"/>
            <w:tcBorders>
              <w:top w:val="single" w:sz="4" w:space="0" w:color="auto"/>
              <w:bottom w:val="nil"/>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xml:space="preserve">Напитки прочие сброженные (например, сидр, перри, или сидр грушевый, напиток медовый, сакэ); смеси из сброженных напитков и смеси сброженных напитков и безалкогольных напитков, </w:t>
            </w:r>
            <w:r w:rsidRPr="00D262CC">
              <w:rPr>
                <w:rFonts w:ascii="Times New Roman" w:hAnsi="Times New Roman"/>
                <w:sz w:val="26"/>
                <w:szCs w:val="26"/>
                <w:u w:val="single"/>
              </w:rPr>
              <w:t>в другом месте не поименованные или не включенные</w:t>
            </w:r>
            <w:r w:rsidRPr="00D262CC">
              <w:rPr>
                <w:rFonts w:ascii="Times New Roman" w:hAnsi="Times New Roman"/>
                <w:sz w:val="26"/>
                <w:szCs w:val="26"/>
              </w:rPr>
              <w:t>:</w:t>
            </w:r>
          </w:p>
        </w:tc>
      </w:tr>
      <w:tr w:rsidR="0014390B" w:rsidRPr="00D262CC" w:rsidTr="00AE6E66">
        <w:tc>
          <w:tcPr>
            <w:tcW w:w="2098" w:type="dxa"/>
            <w:tcBorders>
              <w:top w:val="nil"/>
              <w:bottom w:val="nil"/>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2206 00 390</w:t>
            </w:r>
          </w:p>
        </w:tc>
        <w:tc>
          <w:tcPr>
            <w:tcW w:w="7603" w:type="dxa"/>
            <w:tcBorders>
              <w:top w:val="nil"/>
              <w:bottom w:val="nil"/>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прочие:</w:t>
            </w:r>
          </w:p>
        </w:tc>
      </w:tr>
      <w:tr w:rsidR="0014390B" w:rsidRPr="00D262CC" w:rsidTr="00AE6E66">
        <w:tc>
          <w:tcPr>
            <w:tcW w:w="2098" w:type="dxa"/>
            <w:tcBorders>
              <w:top w:val="nil"/>
              <w:bottom w:val="single" w:sz="4" w:space="0" w:color="auto"/>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2206 00 390 1</w:t>
            </w:r>
          </w:p>
        </w:tc>
        <w:tc>
          <w:tcPr>
            <w:tcW w:w="7603" w:type="dxa"/>
            <w:tcBorders>
              <w:top w:val="nil"/>
              <w:bottom w:val="single" w:sz="4" w:space="0" w:color="auto"/>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с фактической концентрацией спирта не более 7 об.%</w:t>
            </w:r>
          </w:p>
        </w:tc>
      </w:tr>
      <w:tr w:rsidR="0014390B" w:rsidRPr="00D262CC" w:rsidTr="00AE6E66">
        <w:tc>
          <w:tcPr>
            <w:tcW w:w="2098" w:type="dxa"/>
            <w:tcBorders>
              <w:top w:val="nil"/>
              <w:bottom w:val="nil"/>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2206 00 590</w:t>
            </w:r>
          </w:p>
        </w:tc>
        <w:tc>
          <w:tcPr>
            <w:tcW w:w="7603" w:type="dxa"/>
            <w:tcBorders>
              <w:top w:val="nil"/>
              <w:bottom w:val="nil"/>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прочие:</w:t>
            </w:r>
          </w:p>
        </w:tc>
      </w:tr>
      <w:tr w:rsidR="0014390B" w:rsidRPr="00D262CC" w:rsidTr="00AE6E66">
        <w:tc>
          <w:tcPr>
            <w:tcW w:w="2098" w:type="dxa"/>
            <w:tcBorders>
              <w:top w:val="nil"/>
              <w:bottom w:val="single" w:sz="4" w:space="0" w:color="auto"/>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2206 00 590 1</w:t>
            </w:r>
          </w:p>
        </w:tc>
        <w:tc>
          <w:tcPr>
            <w:tcW w:w="7603" w:type="dxa"/>
            <w:tcBorders>
              <w:top w:val="nil"/>
              <w:bottom w:val="single" w:sz="4" w:space="0" w:color="auto"/>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с фактической концентрацией спирта не более 7 об.%</w:t>
            </w:r>
          </w:p>
        </w:tc>
      </w:tr>
      <w:tr w:rsidR="0014390B" w:rsidRPr="00D262CC" w:rsidTr="00AE6E66">
        <w:tc>
          <w:tcPr>
            <w:tcW w:w="2098" w:type="dxa"/>
            <w:tcBorders>
              <w:top w:val="single" w:sz="4" w:space="0" w:color="auto"/>
              <w:bottom w:val="nil"/>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2206 00 890</w:t>
            </w:r>
          </w:p>
        </w:tc>
        <w:tc>
          <w:tcPr>
            <w:tcW w:w="7603" w:type="dxa"/>
            <w:tcBorders>
              <w:top w:val="single" w:sz="4" w:space="0" w:color="auto"/>
              <w:bottom w:val="nil"/>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прочие:</w:t>
            </w:r>
          </w:p>
        </w:tc>
      </w:tr>
      <w:tr w:rsidR="0014390B" w:rsidRPr="00D262CC" w:rsidTr="00AE6E66">
        <w:tc>
          <w:tcPr>
            <w:tcW w:w="2098" w:type="dxa"/>
            <w:tcBorders>
              <w:top w:val="nil"/>
              <w:bottom w:val="single" w:sz="4" w:space="0" w:color="auto"/>
            </w:tcBorders>
          </w:tcPr>
          <w:p w:rsidR="0014390B" w:rsidRPr="00D262CC" w:rsidRDefault="0014390B" w:rsidP="00AE6E66">
            <w:pPr>
              <w:spacing w:after="0" w:line="220" w:lineRule="atLeast"/>
              <w:rPr>
                <w:rFonts w:ascii="Times New Roman" w:hAnsi="Times New Roman"/>
                <w:sz w:val="26"/>
                <w:szCs w:val="26"/>
              </w:rPr>
            </w:pPr>
            <w:r w:rsidRPr="00D262CC">
              <w:rPr>
                <w:rFonts w:ascii="Times New Roman" w:hAnsi="Times New Roman"/>
                <w:sz w:val="26"/>
                <w:szCs w:val="26"/>
              </w:rPr>
              <w:t>2206 00 890 1</w:t>
            </w:r>
          </w:p>
        </w:tc>
        <w:tc>
          <w:tcPr>
            <w:tcW w:w="7603" w:type="dxa"/>
            <w:tcBorders>
              <w:top w:val="nil"/>
              <w:bottom w:val="single" w:sz="4" w:space="0" w:color="auto"/>
            </w:tcBorders>
          </w:tcPr>
          <w:p w:rsidR="0014390B" w:rsidRPr="00D262CC" w:rsidRDefault="0014390B" w:rsidP="00AE6E66">
            <w:pPr>
              <w:spacing w:after="0" w:line="220" w:lineRule="atLeast"/>
              <w:ind w:firstLine="709"/>
              <w:rPr>
                <w:rFonts w:ascii="Times New Roman" w:hAnsi="Times New Roman"/>
                <w:sz w:val="26"/>
                <w:szCs w:val="26"/>
              </w:rPr>
            </w:pPr>
            <w:r w:rsidRPr="00D262CC">
              <w:rPr>
                <w:rFonts w:ascii="Times New Roman" w:hAnsi="Times New Roman"/>
                <w:sz w:val="26"/>
                <w:szCs w:val="26"/>
              </w:rPr>
              <w:t>----- с фактической концентрацией спирта не более 7 об.%</w:t>
            </w:r>
          </w:p>
        </w:tc>
      </w:tr>
    </w:tbl>
    <w:p w:rsidR="0014390B" w:rsidRPr="00D262CC" w:rsidRDefault="00AD4F32" w:rsidP="0014390B">
      <w:pPr>
        <w:spacing w:after="0" w:line="220" w:lineRule="atLeast"/>
        <w:ind w:firstLine="709"/>
        <w:jc w:val="both"/>
        <w:rPr>
          <w:rFonts w:ascii="Times New Roman" w:hAnsi="Times New Roman" w:cs="Times New Roman"/>
          <w:sz w:val="26"/>
          <w:szCs w:val="26"/>
        </w:rPr>
      </w:pPr>
      <w:hyperlink r:id="rId8" w:history="1">
        <w:r w:rsidR="0014390B" w:rsidRPr="00D262CC">
          <w:rPr>
            <w:rFonts w:ascii="Times New Roman" w:hAnsi="Times New Roman" w:cs="Times New Roman"/>
            <w:i/>
            <w:color w:val="0000FF"/>
            <w:sz w:val="26"/>
            <w:szCs w:val="26"/>
          </w:rPr>
          <w:br/>
          <w:t>Решение Совета Евразийской экономической комиссии от 16.07.2012 N 54 (ред. от 18.08.2017)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{КонсультантПлюс}</w:t>
        </w:r>
      </w:hyperlink>
    </w:p>
    <w:p w:rsidR="0014390B" w:rsidRPr="00D262CC" w:rsidRDefault="0014390B" w:rsidP="0014390B">
      <w:pPr>
        <w:spacing w:after="0" w:line="220" w:lineRule="atLeast"/>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Таким образом, в соответствии с перечнем, установленным Правительством РФ, к безалкогольной продукции относятся Напитки брожения, квасы и напитки с содержанием этилового спирта </w:t>
      </w:r>
      <w:r w:rsidRPr="00D262CC">
        <w:rPr>
          <w:rFonts w:ascii="Times New Roman" w:hAnsi="Times New Roman" w:cs="Times New Roman"/>
          <w:sz w:val="26"/>
          <w:szCs w:val="26"/>
          <w:u w:val="single"/>
        </w:rPr>
        <w:t xml:space="preserve">от 0,5 до 1,2 процента включительно </w:t>
      </w:r>
      <w:r w:rsidRPr="00D262CC">
        <w:rPr>
          <w:rFonts w:ascii="Times New Roman" w:hAnsi="Times New Roman" w:cs="Times New Roman"/>
          <w:sz w:val="26"/>
          <w:szCs w:val="26"/>
        </w:rPr>
        <w:t>(с кодами ТН ВЭД ТС</w:t>
      </w:r>
      <w:r w:rsidRPr="00D262CC">
        <w:rPr>
          <w:rFonts w:ascii="Times New Roman" w:hAnsi="Times New Roman" w:cs="Times New Roman"/>
          <w:sz w:val="26"/>
          <w:szCs w:val="26"/>
          <w:u w:val="single"/>
        </w:rPr>
        <w:t xml:space="preserve"> </w:t>
      </w:r>
      <w:r w:rsidRPr="00D262CC">
        <w:rPr>
          <w:rFonts w:ascii="Times New Roman" w:hAnsi="Times New Roman" w:cs="Times New Roman"/>
          <w:sz w:val="26"/>
          <w:szCs w:val="26"/>
        </w:rPr>
        <w:t>2206 00 390 1, 2206 00 590 1, 2206 00 890 1)</w:t>
      </w:r>
    </w:p>
    <w:p w:rsidR="0014390B" w:rsidRPr="00D262CC" w:rsidRDefault="0014390B" w:rsidP="0014390B">
      <w:pPr>
        <w:spacing w:after="0"/>
        <w:ind w:firstLine="709"/>
        <w:jc w:val="both"/>
        <w:rPr>
          <w:rFonts w:ascii="Times New Roman" w:hAnsi="Times New Roman" w:cs="Times New Roman"/>
          <w:sz w:val="26"/>
          <w:szCs w:val="26"/>
        </w:rPr>
      </w:pPr>
      <w:r w:rsidRPr="00D262CC">
        <w:rPr>
          <w:rFonts w:ascii="Times New Roman" w:hAnsi="Times New Roman" w:cs="Times New Roman"/>
          <w:sz w:val="26"/>
          <w:szCs w:val="26"/>
        </w:rPr>
        <w:t>Пиво (как вид алкогольной продукции) с содержанием алкоголя более 0,5%  никоим образом не относится с категории – «пищевой продукции, не относящейся к алкогольной продукции». Это алкогольная продукция.</w:t>
      </w:r>
    </w:p>
    <w:p w:rsidR="0014390B" w:rsidRPr="00D262CC" w:rsidRDefault="0014390B" w:rsidP="0014390B">
      <w:pPr>
        <w:spacing w:after="0"/>
        <w:ind w:firstLine="709"/>
        <w:jc w:val="both"/>
        <w:rPr>
          <w:rFonts w:ascii="Times New Roman" w:hAnsi="Times New Roman" w:cs="Times New Roman"/>
          <w:sz w:val="26"/>
          <w:szCs w:val="26"/>
        </w:rPr>
      </w:pPr>
      <w:r w:rsidRPr="00D262CC">
        <w:rPr>
          <w:rFonts w:ascii="Times New Roman" w:hAnsi="Times New Roman" w:cs="Times New Roman"/>
          <w:sz w:val="26"/>
          <w:szCs w:val="26"/>
        </w:rPr>
        <w:t>Более того, если содержание алкоголя в пиве превышает 5% (это так называемый «крепкий алкоголь»), то  применяется специальная норма - часть 2.1 ст.21 Закона о рекламе, согласно данной норме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объектов.(Прим: То есть в иных местах распространение рекламы такой продукции не допускается.)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Относительно «</w:t>
      </w:r>
      <w:r w:rsidRPr="00D262CC">
        <w:rPr>
          <w:rFonts w:ascii="Times New Roman" w:hAnsi="Times New Roman" w:cs="Times New Roman"/>
          <w:sz w:val="26"/>
          <w:szCs w:val="26"/>
          <w:u w:val="single"/>
        </w:rPr>
        <w:t>безалкогольного пива</w:t>
      </w:r>
      <w:r w:rsidRPr="00D262CC">
        <w:rPr>
          <w:rFonts w:ascii="Times New Roman" w:hAnsi="Times New Roman" w:cs="Times New Roman"/>
          <w:sz w:val="26"/>
          <w:szCs w:val="26"/>
        </w:rPr>
        <w:t xml:space="preserve">» поясняем следующее. К алкогольной продукции относится пиво с содержанием этилового спирта более 0,5 процента объема готовой продукции. В случае, если в пиве содержится этилового спирта не более 0,5 процента объема готовой продукции (так называемое «безалкогольное пиво»), то такое пиво не подпадает под понятие алкогольной продукции. Соответственно, на рекламу такого пива не распространяются требования </w:t>
      </w:r>
      <w:hyperlink r:id="rId9" w:history="1">
        <w:r w:rsidRPr="00D262CC">
          <w:rPr>
            <w:rFonts w:ascii="Times New Roman" w:hAnsi="Times New Roman" w:cs="Times New Roman"/>
            <w:color w:val="0000FF"/>
            <w:sz w:val="26"/>
            <w:szCs w:val="26"/>
          </w:rPr>
          <w:t>статьи 21</w:t>
        </w:r>
      </w:hyperlink>
      <w:r w:rsidRPr="00D262CC">
        <w:rPr>
          <w:rFonts w:ascii="Times New Roman" w:hAnsi="Times New Roman" w:cs="Times New Roman"/>
          <w:sz w:val="26"/>
          <w:szCs w:val="26"/>
        </w:rPr>
        <w:t xml:space="preserve"> Федерального закона "О рекламе".</w:t>
      </w:r>
    </w:p>
    <w:p w:rsidR="0014390B" w:rsidRPr="00D262CC" w:rsidRDefault="0014390B" w:rsidP="0014390B">
      <w:pPr>
        <w:spacing w:after="0" w:line="240" w:lineRule="auto"/>
        <w:ind w:firstLine="709"/>
        <w:jc w:val="both"/>
        <w:rPr>
          <w:rFonts w:ascii="Times New Roman" w:hAnsi="Times New Roman" w:cs="Times New Roman"/>
          <w:sz w:val="26"/>
          <w:szCs w:val="26"/>
        </w:rPr>
      </w:pP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В рекламе REEB</w:t>
      </w:r>
      <w:r w:rsidRPr="00D262CC">
        <w:rPr>
          <w:rFonts w:ascii="Times New Roman" w:hAnsi="Times New Roman" w:cs="Times New Roman"/>
          <w:sz w:val="26"/>
          <w:szCs w:val="26"/>
          <w:lang w:val="en-US"/>
        </w:rPr>
        <w:t>OK</w:t>
      </w:r>
      <w:r w:rsidRPr="00D262CC">
        <w:rPr>
          <w:rFonts w:ascii="Times New Roman" w:hAnsi="Times New Roman" w:cs="Times New Roman"/>
          <w:sz w:val="26"/>
          <w:szCs w:val="26"/>
        </w:rPr>
        <w:t xml:space="preserve"> использован слоган «</w:t>
      </w:r>
      <w:r w:rsidRPr="00D262CC">
        <w:rPr>
          <w:rFonts w:ascii="Times New Roman" w:hAnsi="Times New Roman" w:cs="Times New Roman"/>
          <w:sz w:val="26"/>
          <w:szCs w:val="26"/>
          <w:lang w:val="en-US"/>
        </w:rPr>
        <w:t>Bee</w:t>
      </w:r>
      <w:r w:rsidRPr="00D262CC">
        <w:rPr>
          <w:rFonts w:ascii="Times New Roman" w:hAnsi="Times New Roman" w:cs="Times New Roman"/>
          <w:sz w:val="26"/>
          <w:szCs w:val="26"/>
        </w:rPr>
        <w:t xml:space="preserve"> </w:t>
      </w:r>
      <w:r w:rsidRPr="00D262CC">
        <w:rPr>
          <w:rFonts w:ascii="Times New Roman" w:hAnsi="Times New Roman" w:cs="Times New Roman"/>
          <w:sz w:val="26"/>
          <w:szCs w:val="26"/>
          <w:lang w:val="en-US"/>
        </w:rPr>
        <w:t>more</w:t>
      </w:r>
      <w:r w:rsidRPr="00D262CC">
        <w:rPr>
          <w:rFonts w:ascii="Times New Roman" w:hAnsi="Times New Roman" w:cs="Times New Roman"/>
          <w:sz w:val="26"/>
          <w:szCs w:val="26"/>
        </w:rPr>
        <w:t xml:space="preserve"> </w:t>
      </w:r>
      <w:r w:rsidRPr="00D262CC">
        <w:rPr>
          <w:rFonts w:ascii="Times New Roman" w:hAnsi="Times New Roman" w:cs="Times New Roman"/>
          <w:sz w:val="26"/>
          <w:szCs w:val="26"/>
          <w:lang w:val="en-US"/>
        </w:rPr>
        <w:t>human</w:t>
      </w:r>
      <w:r w:rsidRPr="00D262CC">
        <w:rPr>
          <w:rFonts w:ascii="Times New Roman" w:hAnsi="Times New Roman" w:cs="Times New Roman"/>
          <w:sz w:val="26"/>
          <w:szCs w:val="26"/>
        </w:rPr>
        <w:t>», а в русском варианте рекламы - «Будь человеком». Возникает вопрос, что, без продукции REEB</w:t>
      </w:r>
      <w:r w:rsidRPr="00D262CC">
        <w:rPr>
          <w:rFonts w:ascii="Times New Roman" w:hAnsi="Times New Roman" w:cs="Times New Roman"/>
          <w:sz w:val="26"/>
          <w:szCs w:val="26"/>
          <w:lang w:val="en-US"/>
        </w:rPr>
        <w:t>OK</w:t>
      </w:r>
      <w:r w:rsidRPr="00D262CC">
        <w:rPr>
          <w:rFonts w:ascii="Times New Roman" w:hAnsi="Times New Roman" w:cs="Times New Roman"/>
          <w:sz w:val="26"/>
          <w:szCs w:val="26"/>
        </w:rPr>
        <w:t xml:space="preserve"> мы не люди? Есть ли в такой рекламе нарушения?</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Чтобы оценить рекламу, необходимо ее посмотреть, послушать, оценить все использованные в ней образы и тексты в совокупности на предмет того, как реклама воспринимается простым потребителем.</w:t>
      </w:r>
    </w:p>
    <w:p w:rsidR="00D262CC" w:rsidRPr="00D262CC" w:rsidRDefault="00D262CC" w:rsidP="00D262CC">
      <w:pPr>
        <w:spacing w:after="0" w:line="240" w:lineRule="auto"/>
        <w:ind w:firstLine="709"/>
        <w:jc w:val="both"/>
        <w:rPr>
          <w:rFonts w:ascii="Times New Roman" w:hAnsi="Times New Roman" w:cs="Times New Roman"/>
          <w:sz w:val="26"/>
          <w:szCs w:val="26"/>
          <w:lang w:eastAsia="ru-RU"/>
        </w:rPr>
      </w:pPr>
      <w:r w:rsidRPr="00D262CC">
        <w:rPr>
          <w:rFonts w:ascii="Times New Roman" w:hAnsi="Times New Roman" w:cs="Times New Roman"/>
          <w:sz w:val="26"/>
          <w:szCs w:val="26"/>
        </w:rPr>
        <w:t>Если реклама использует оскорбительные слова или образы – она нарушает Закон о рекламе. Частью 6 статьи 5 Закона о рекламе установлено, что в</w:t>
      </w:r>
      <w:r w:rsidRPr="00D262CC">
        <w:rPr>
          <w:rFonts w:ascii="Times New Roman" w:hAnsi="Times New Roman" w:cs="Times New Roman"/>
          <w:sz w:val="26"/>
          <w:szCs w:val="26"/>
          <w:lang w:eastAsia="ru-RU"/>
        </w:rPr>
        <w:t xml:space="preserve">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D262CC" w:rsidRPr="00D262CC" w:rsidRDefault="00D262CC" w:rsidP="00D262C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262CC">
        <w:rPr>
          <w:rFonts w:ascii="Times New Roman" w:hAnsi="Times New Roman" w:cs="Times New Roman"/>
          <w:sz w:val="26"/>
          <w:szCs w:val="26"/>
          <w:lang w:eastAsia="ru-RU"/>
        </w:rPr>
        <w:t xml:space="preserve">Обращаем также внимание, что Законом о рекламе установлены также нормы относительно использования иностранных слов - в рекламе не допускаются использование иностранных слов и выражений, </w:t>
      </w:r>
      <w:r w:rsidRPr="00D262CC">
        <w:rPr>
          <w:rFonts w:ascii="Times New Roman" w:hAnsi="Times New Roman" w:cs="Times New Roman"/>
          <w:sz w:val="26"/>
          <w:szCs w:val="26"/>
          <w:u w:val="single"/>
          <w:lang w:eastAsia="ru-RU"/>
        </w:rPr>
        <w:t>если это может привести к искажению смысла информации.</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Для того чтобы дать оценку рекламы необходимо с ней ознакомиться. Вы можете направить заявление с указанием места распространения рекламы и Управлением будет дана ее оценка. В случае наличия признаков нарушения Закона о рекламе, антимонопольный органом будет возбуждено дело о нарушении рекламного законодательства. </w:t>
      </w:r>
    </w:p>
    <w:p w:rsidR="00D262CC" w:rsidRPr="00D262CC" w:rsidRDefault="00D262CC" w:rsidP="00D262CC">
      <w:pPr>
        <w:autoSpaceDE w:val="0"/>
        <w:autoSpaceDN w:val="0"/>
        <w:adjustRightInd w:val="0"/>
        <w:spacing w:after="0" w:line="240" w:lineRule="auto"/>
        <w:ind w:firstLine="709"/>
        <w:jc w:val="both"/>
        <w:rPr>
          <w:rFonts w:ascii="Times New Roman" w:hAnsi="Times New Roman" w:cs="Times New Roman"/>
          <w:sz w:val="26"/>
          <w:szCs w:val="26"/>
        </w:rPr>
      </w:pPr>
    </w:p>
    <w:p w:rsidR="00D262CC" w:rsidRPr="00D262CC" w:rsidRDefault="00D262CC" w:rsidP="00D262C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Допустимо ли при трансляции телевизионных передач оформлять студию брендами, товарными знаками. Будет ли это считаться рекламой и учитываться в о</w:t>
      </w:r>
      <w:r w:rsidRPr="00D262CC">
        <w:rPr>
          <w:rFonts w:ascii="Times New Roman" w:hAnsi="Times New Roman" w:cs="Times New Roman"/>
          <w:sz w:val="26"/>
          <w:szCs w:val="26"/>
          <w:lang w:eastAsia="ru-RU"/>
        </w:rPr>
        <w:t xml:space="preserve">бщей продолжительности распространяемой в телепрограмме рекламы? </w:t>
      </w:r>
    </w:p>
    <w:p w:rsidR="00D262CC" w:rsidRPr="00D262CC" w:rsidRDefault="00D262CC" w:rsidP="00D262CC">
      <w:pPr>
        <w:autoSpaceDE w:val="0"/>
        <w:autoSpaceDN w:val="0"/>
        <w:adjustRightInd w:val="0"/>
        <w:spacing w:after="0" w:line="240" w:lineRule="auto"/>
        <w:ind w:firstLine="540"/>
        <w:jc w:val="both"/>
        <w:rPr>
          <w:rFonts w:ascii="Times New Roman" w:hAnsi="Times New Roman"/>
          <w:sz w:val="26"/>
          <w:szCs w:val="26"/>
          <w:lang w:eastAsia="ru-RU"/>
        </w:rPr>
      </w:pPr>
      <w:r w:rsidRPr="00D262CC">
        <w:rPr>
          <w:rFonts w:ascii="Times New Roman" w:hAnsi="Times New Roman"/>
          <w:b/>
          <w:sz w:val="26"/>
          <w:szCs w:val="26"/>
        </w:rPr>
        <w:t>Ответ</w:t>
      </w:r>
      <w:r w:rsidRPr="00D262CC">
        <w:rPr>
          <w:rFonts w:ascii="Times New Roman" w:hAnsi="Times New Roman"/>
          <w:sz w:val="26"/>
          <w:szCs w:val="26"/>
        </w:rPr>
        <w:t xml:space="preserve">: </w:t>
      </w:r>
      <w:r w:rsidRPr="00D262CC">
        <w:rPr>
          <w:rFonts w:ascii="Times New Roman" w:hAnsi="Times New Roman"/>
          <w:sz w:val="26"/>
          <w:szCs w:val="26"/>
          <w:lang w:eastAsia="ru-RU"/>
        </w:rPr>
        <w:t>При решении вопроса о том, является ли распространяемая информация рекламой применяется следующий подход.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рассматривается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(в том числе товарного знака).</w:t>
      </w:r>
    </w:p>
    <w:p w:rsidR="00D262CC" w:rsidRPr="00D262CC" w:rsidRDefault="00D262CC" w:rsidP="00D262CC">
      <w:pPr>
        <w:autoSpaceDE w:val="0"/>
        <w:autoSpaceDN w:val="0"/>
        <w:adjustRightInd w:val="0"/>
        <w:spacing w:after="0" w:line="240" w:lineRule="auto"/>
        <w:ind w:firstLine="540"/>
        <w:jc w:val="both"/>
        <w:rPr>
          <w:rFonts w:ascii="Times New Roman" w:hAnsi="Times New Roman"/>
          <w:sz w:val="26"/>
          <w:szCs w:val="26"/>
          <w:lang w:eastAsia="ru-RU"/>
        </w:rPr>
      </w:pPr>
      <w:r w:rsidRPr="00D262CC">
        <w:rPr>
          <w:rFonts w:ascii="Times New Roman" w:hAnsi="Times New Roman"/>
          <w:sz w:val="26"/>
          <w:szCs w:val="26"/>
          <w:lang w:eastAsia="ru-RU"/>
        </w:rPr>
        <w:t>В настоящее время в практике Волгоградского УФАС России таких дел и обращений по телевизионной рекламе не было.</w:t>
      </w:r>
    </w:p>
    <w:p w:rsidR="00D262CC" w:rsidRPr="00D262CC" w:rsidRDefault="00D262CC" w:rsidP="00D262CC">
      <w:pPr>
        <w:autoSpaceDE w:val="0"/>
        <w:autoSpaceDN w:val="0"/>
        <w:adjustRightInd w:val="0"/>
        <w:spacing w:after="0" w:line="240" w:lineRule="auto"/>
        <w:ind w:firstLine="540"/>
        <w:jc w:val="both"/>
        <w:rPr>
          <w:rFonts w:ascii="Times New Roman" w:hAnsi="Times New Roman"/>
          <w:sz w:val="26"/>
          <w:szCs w:val="26"/>
          <w:lang w:eastAsia="ru-RU"/>
        </w:rPr>
      </w:pPr>
      <w:r w:rsidRPr="00D262CC">
        <w:rPr>
          <w:rFonts w:ascii="Times New Roman" w:hAnsi="Times New Roman"/>
          <w:sz w:val="26"/>
          <w:szCs w:val="26"/>
          <w:lang w:eastAsia="ru-RU"/>
        </w:rPr>
        <w:t xml:space="preserve">Вместе с тем, в практике ФАС России имеются подобные дела. </w:t>
      </w:r>
    </w:p>
    <w:p w:rsidR="00D262CC" w:rsidRPr="00D262CC" w:rsidRDefault="00D262CC" w:rsidP="00D262CC">
      <w:pPr>
        <w:autoSpaceDE w:val="0"/>
        <w:autoSpaceDN w:val="0"/>
        <w:adjustRightInd w:val="0"/>
        <w:spacing w:after="0" w:line="240" w:lineRule="auto"/>
        <w:ind w:firstLine="540"/>
        <w:jc w:val="both"/>
        <w:rPr>
          <w:rFonts w:ascii="Times New Roman" w:hAnsi="Times New Roman"/>
          <w:sz w:val="26"/>
          <w:szCs w:val="26"/>
          <w:lang w:eastAsia="ru-RU"/>
        </w:rPr>
      </w:pPr>
      <w:r w:rsidRPr="00D262CC">
        <w:rPr>
          <w:rFonts w:ascii="Times New Roman" w:hAnsi="Times New Roman"/>
          <w:sz w:val="26"/>
          <w:szCs w:val="26"/>
          <w:lang w:eastAsia="ru-RU"/>
        </w:rPr>
        <w:t>Продолжительность времени, в течении которого видна визуальная реклама, будет учитываться в объеме рекламы для целей применения статьи 14 Закона о рекламе.</w:t>
      </w:r>
    </w:p>
    <w:p w:rsidR="00D262CC" w:rsidRPr="00D262CC" w:rsidRDefault="00D262CC" w:rsidP="00D262CC">
      <w:pPr>
        <w:autoSpaceDE w:val="0"/>
        <w:autoSpaceDN w:val="0"/>
        <w:adjustRightInd w:val="0"/>
        <w:spacing w:after="0" w:line="240" w:lineRule="auto"/>
        <w:ind w:firstLine="540"/>
        <w:jc w:val="both"/>
        <w:rPr>
          <w:rFonts w:ascii="Times New Roman" w:hAnsi="Times New Roman"/>
          <w:sz w:val="26"/>
          <w:szCs w:val="26"/>
          <w:lang w:eastAsia="ru-RU"/>
        </w:rPr>
      </w:pPr>
      <w:r w:rsidRPr="00D262CC">
        <w:rPr>
          <w:rFonts w:ascii="Times New Roman" w:hAnsi="Times New Roman"/>
          <w:sz w:val="26"/>
          <w:szCs w:val="26"/>
          <w:lang w:eastAsia="ru-RU"/>
        </w:rPr>
        <w:t>Частью 3 статьи 14 установлено, что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(что составляет 9 минут).</w:t>
      </w:r>
    </w:p>
    <w:p w:rsidR="00D262CC" w:rsidRPr="00D262CC" w:rsidRDefault="00D262CC" w:rsidP="00D262CC">
      <w:pPr>
        <w:spacing w:after="0" w:line="240" w:lineRule="auto"/>
        <w:ind w:firstLine="709"/>
        <w:jc w:val="both"/>
        <w:rPr>
          <w:rFonts w:ascii="Times New Roman" w:hAnsi="Times New Roman" w:cs="Times New Roman"/>
          <w:sz w:val="26"/>
          <w:szCs w:val="26"/>
        </w:rPr>
      </w:pP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Существует проблема навязчивой  рекламы в сети Интернет. Реклама в Интернет зачастую  включается без воли потребителя, ее сложно выключить, она раздражает и приводит к потере времени. Есть ли какие либо законные способы защиты потребителей от такой навязчивой рекламы?</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 xml:space="preserve">Ответ: </w:t>
      </w:r>
      <w:r w:rsidRPr="00D262CC">
        <w:rPr>
          <w:rFonts w:ascii="Times New Roman" w:hAnsi="Times New Roman" w:cs="Times New Roman"/>
          <w:sz w:val="26"/>
          <w:szCs w:val="26"/>
        </w:rPr>
        <w:t>Рекламным законодательством в настоящее время не установлены какие-либо ограничения на время трансляции рекламы в сети Интернет, указание на то, что информация размещена на правах рекламы и пр.</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Таким образом, территориальные органы ФАС России, осуществляющие надзор за содержанием рекламы на предмет соответствия рекламному законодательству, не имеют в этой связи каких-либо полномочий. Тема правового регулирования Интернет-пространства довольно сложная и новая, правовое регулирование</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Однако, существуют чисто технологические способы защиты от такой информации, например, программы (приложения) скрывающие навязчивую рекламу.</w:t>
      </w:r>
    </w:p>
    <w:p w:rsidR="00D262CC" w:rsidRPr="00D262CC" w:rsidRDefault="00D262CC" w:rsidP="0014390B">
      <w:pPr>
        <w:spacing w:after="0" w:line="240" w:lineRule="auto"/>
        <w:ind w:firstLine="709"/>
        <w:jc w:val="both"/>
        <w:rPr>
          <w:rFonts w:ascii="Times New Roman" w:hAnsi="Times New Roman" w:cs="Times New Roman"/>
          <w:sz w:val="26"/>
          <w:szCs w:val="26"/>
        </w:rPr>
      </w:pPr>
    </w:p>
    <w:p w:rsidR="00D262CC" w:rsidRPr="00D262CC" w:rsidRDefault="00D262CC" w:rsidP="00D262CC">
      <w:pPr>
        <w:spacing w:after="0" w:line="240" w:lineRule="auto"/>
        <w:ind w:firstLine="709"/>
        <w:jc w:val="center"/>
        <w:rPr>
          <w:rFonts w:ascii="Times New Roman" w:hAnsi="Times New Roman" w:cs="Times New Roman"/>
          <w:b/>
          <w:sz w:val="26"/>
          <w:szCs w:val="26"/>
        </w:rPr>
      </w:pPr>
      <w:r w:rsidRPr="00D262CC">
        <w:rPr>
          <w:rFonts w:ascii="Times New Roman" w:hAnsi="Times New Roman" w:cs="Times New Roman"/>
          <w:b/>
          <w:sz w:val="26"/>
          <w:szCs w:val="26"/>
        </w:rPr>
        <w:t>Контроль государственных и муниципальных закупок</w:t>
      </w:r>
    </w:p>
    <w:p w:rsidR="00D262CC" w:rsidRPr="00D262CC" w:rsidRDefault="00D262CC" w:rsidP="0014390B">
      <w:pPr>
        <w:spacing w:after="0" w:line="240" w:lineRule="auto"/>
        <w:ind w:firstLine="709"/>
        <w:jc w:val="both"/>
        <w:rPr>
          <w:rFonts w:ascii="Times New Roman" w:hAnsi="Times New Roman" w:cs="Times New Roman"/>
          <w:sz w:val="26"/>
          <w:szCs w:val="26"/>
        </w:rPr>
      </w:pP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xml:space="preserve"> Администрация муниципального образования подает заявку на выполнение кадастровых работ по земле. При аукционе начальная цена уменьшается в 10 раз. Работы проводятся, земля представляется другим лицам. В дальнейшем при использовании этих участков возникают проблемы в виде: работы по межеванию проведены некачественно, с ошибками. Конечный потребитель унаследовал некачественные работы, выполненные организацией определенной аукционом. </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Качество предоставления услуг при муниципальной закупке низкое («сделано на коленке»), что соответствует уровню оплаты данных работ, цена определена аукционом. При этом кадастровые работы представляют собой комплекс работ, одна из которых – геодезические изыскания, их оплату не может покрыть цена закупки.</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В итоге добросовестные исполнители не могут реализовать свои услуги, т.к. искусственно заниженная цена не может покрыть всех затрат  при выполнении таких работ.</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Другому лицу приходится переделывать за свой счет кадастровые работы, для недопущения событий правонарушения земельного законодательства.</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Может ли как то при закупке ранжироваться грань цена-качество услуг, для того чтобы учесть  интересы всех лиц и создать равные условия для добросовестных исполнителей работ?</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xml:space="preserve">: Кадастровые работы включены в код 71.12.35.110 «Услуги в области кадастровой деятельности» «Общероссийского классификатора продукции по видам экономической деятельности», утвержденного Приказом Росстандарта от 31.01.2014 № 14-ст. </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Указанный код отсутствует в Перечне товаров, работ, услуг, в случае осуществления закупок которых заказчик обязан проводить аукцион в электронной форме (электронный аукцион), утвержденный распоряжением Правительства Российской Федерации от 21 марта 2016 г. № 471-р, что позволяет заказчикам проводить закупки, объектом которых является выполнение кадастровых работ, в том числе в форме открытого конкурса.</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Согласно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Российской Федерации от 28 ноября 2013 г. № 1085, заказчик в конкурсной документации может устанавливать следующие нестоимостные критерии оценки:</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1. качественные, функциональные и экологические характеристики объекта закупки;</w:t>
      </w:r>
    </w:p>
    <w:p w:rsidR="00D262CC" w:rsidRPr="00D262CC" w:rsidRDefault="00D262CC" w:rsidP="00D262CC">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262CC" w:rsidRPr="00D262CC" w:rsidRDefault="00D262CC" w:rsidP="00D262CC">
      <w:pPr>
        <w:spacing w:after="0" w:line="240" w:lineRule="auto"/>
        <w:ind w:firstLine="709"/>
        <w:jc w:val="both"/>
        <w:rPr>
          <w:rFonts w:ascii="Times New Roman" w:hAnsi="Times New Roman" w:cs="Times New Roman"/>
          <w:sz w:val="26"/>
          <w:szCs w:val="26"/>
        </w:rPr>
      </w:pPr>
    </w:p>
    <w:p w:rsidR="00D262CC" w:rsidRPr="00D262CC" w:rsidRDefault="00D262CC" w:rsidP="00D262CC">
      <w:pPr>
        <w:spacing w:after="0" w:line="240" w:lineRule="auto"/>
        <w:ind w:firstLine="709"/>
        <w:jc w:val="center"/>
        <w:rPr>
          <w:rFonts w:ascii="Times New Roman" w:hAnsi="Times New Roman" w:cs="Times New Roman"/>
          <w:b/>
          <w:sz w:val="26"/>
          <w:szCs w:val="26"/>
        </w:rPr>
      </w:pPr>
      <w:r w:rsidRPr="00D262CC">
        <w:rPr>
          <w:rFonts w:ascii="Times New Roman" w:hAnsi="Times New Roman" w:cs="Times New Roman"/>
          <w:b/>
          <w:sz w:val="26"/>
          <w:szCs w:val="26"/>
        </w:rPr>
        <w:t>Прочее</w:t>
      </w:r>
    </w:p>
    <w:p w:rsidR="00D262CC" w:rsidRPr="00D262CC" w:rsidRDefault="00D262CC" w:rsidP="0014390B">
      <w:pPr>
        <w:spacing w:after="0" w:line="240" w:lineRule="auto"/>
        <w:ind w:firstLine="709"/>
        <w:jc w:val="both"/>
        <w:rPr>
          <w:rFonts w:ascii="Times New Roman" w:hAnsi="Times New Roman" w:cs="Times New Roman"/>
          <w:sz w:val="26"/>
          <w:szCs w:val="26"/>
        </w:rPr>
      </w:pP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Вопрос</w:t>
      </w:r>
      <w:r w:rsidRPr="00D262CC">
        <w:rPr>
          <w:rFonts w:ascii="Times New Roman" w:hAnsi="Times New Roman" w:cs="Times New Roman"/>
          <w:sz w:val="26"/>
          <w:szCs w:val="26"/>
        </w:rPr>
        <w:t>: Применение ст. 2.9 КоАП РФ</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b/>
          <w:sz w:val="26"/>
          <w:szCs w:val="26"/>
        </w:rPr>
        <w:t>Ответ</w:t>
      </w:r>
      <w:r w:rsidRPr="00D262CC">
        <w:rPr>
          <w:rFonts w:ascii="Times New Roman" w:hAnsi="Times New Roman" w:cs="Times New Roman"/>
          <w:sz w:val="26"/>
          <w:szCs w:val="26"/>
        </w:rPr>
        <w:t>: При рассмотрении в рамках своей компетенции дел об административном правонарушении антимонопольный орган руководствуется нормами Кодекса об административных правонарушениях.</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xml:space="preserve">В частности, если при рассмотрении дела установлена малозначительность совершенного административного правонарушения, должностные лица антимонопольного органа на основании </w:t>
      </w:r>
      <w:hyperlink r:id="rId10" w:history="1">
        <w:r w:rsidRPr="00D262CC">
          <w:rPr>
            <w:rFonts w:ascii="Times New Roman" w:hAnsi="Times New Roman" w:cs="Times New Roman"/>
            <w:color w:val="0000FF"/>
            <w:sz w:val="26"/>
            <w:szCs w:val="26"/>
          </w:rPr>
          <w:t>статьи 2.9</w:t>
        </w:r>
      </w:hyperlink>
      <w:r w:rsidRPr="00D262CC">
        <w:rPr>
          <w:rFonts w:ascii="Times New Roman" w:hAnsi="Times New Roman" w:cs="Times New Roman"/>
          <w:sz w:val="26"/>
          <w:szCs w:val="26"/>
        </w:rPr>
        <w:t xml:space="preserve"> КоАП РФ вправе освободить виновное лицо от административной ответственности и ограничиться устным замечанием.</w:t>
      </w:r>
    </w:p>
    <w:p w:rsidR="0014390B" w:rsidRPr="00D262CC" w:rsidRDefault="0014390B" w:rsidP="0014390B">
      <w:pPr>
        <w:autoSpaceDE w:val="0"/>
        <w:autoSpaceDN w:val="0"/>
        <w:adjustRightInd w:val="0"/>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При решениии вопроса о применении статьи 2.9 КоАП РФ учитываются также положения п. 21 Постановления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п. 18 и 18.1 Постановление Пленума ВАС РФ от 02.06.2004 N 10 (ред. от 10.11.2011) "О некоторых вопросах, возникших в судебной практике при рассмотрении дел об административных правонарушениях".</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Обобщая практику оценки судебными органами постановлений о наложении штрафа, выносимых антимонопольными органами по факту распространения ненадлежащей рекламы, ФАС России указывала (письмо ФАС России от 30.09.2013 №АК/38198/13 «О малозначительности в рекламе»), что суды в качестве обстоятельств, свидетельствующих об отсутствии существенной угрозы общественным отношениям и соответственно свидетельствующих о признании правонарушения малозначительным выделяют:</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-небольшой масштаб рекламной кампании - один или незначительное количество номеров СМИ (или иных рекламоносителей), в которых распространялась реклама, один или незначительное количество дней, в которые распространялась реклама,</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отсутствие жалоб со стороны потребителей или организаций-конкурентов о введении их в заблуждение или о нарушении их прав рекламой,</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отсутствие ранее вынесенных в отношении лица, в отношении которого возбуждено дело об административном правонарушении, постановлений о привлечении к административной ответственности за нарушения Федерального закона «О рекламе» в данной сфере (факт совершения правонарушения впервые),</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 отсутствие пренебрежительного отношения к положениям законодательства при распространении рекламы.</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При этом, по мнению ФАС России, признание правонарушения малозначительным в случае выявления совокупности указанных обстоятельств при рассмотрении дела об административном правонарушении по факту нарушения законодательства о рекламе возможно только в случае если отсутствуют иные обстоятельства, свидетельствующие о грубом или сознательном нарушении закона, высокой общественной опасности совершенного правонарушения.</w:t>
      </w:r>
    </w:p>
    <w:p w:rsidR="0014390B" w:rsidRPr="00D262CC" w:rsidRDefault="0014390B" w:rsidP="0014390B">
      <w:pPr>
        <w:spacing w:after="0" w:line="240" w:lineRule="auto"/>
        <w:ind w:firstLine="709"/>
        <w:jc w:val="both"/>
        <w:rPr>
          <w:rFonts w:ascii="Times New Roman" w:hAnsi="Times New Roman" w:cs="Times New Roman"/>
          <w:sz w:val="26"/>
          <w:szCs w:val="26"/>
        </w:rPr>
      </w:pPr>
      <w:r w:rsidRPr="00D262CC">
        <w:rPr>
          <w:rFonts w:ascii="Times New Roman" w:hAnsi="Times New Roman" w:cs="Times New Roman"/>
          <w:sz w:val="26"/>
          <w:szCs w:val="26"/>
        </w:rPr>
        <w:t>По данным за 2017 год в Волгоградском УФАС России из 533 рассмотренных дел об административном правонарушении, 34 производства были прекращены в связи с малозначительностью правонарушения. В том числе, в сфере привлечения к административной отвественности за нарушение рекламного законодательства – из 32 рассмотренных 2 было прекращено в связи с малозначительностью правонарушения.</w:t>
      </w:r>
    </w:p>
    <w:p w:rsidR="0014390B" w:rsidRPr="00D262CC" w:rsidRDefault="0014390B" w:rsidP="0014390B">
      <w:pPr>
        <w:spacing w:after="0" w:line="240" w:lineRule="auto"/>
        <w:ind w:firstLine="709"/>
        <w:jc w:val="both"/>
        <w:rPr>
          <w:rFonts w:ascii="Times New Roman" w:hAnsi="Times New Roman" w:cs="Times New Roman"/>
          <w:sz w:val="26"/>
          <w:szCs w:val="26"/>
        </w:rPr>
      </w:pPr>
    </w:p>
    <w:sectPr w:rsidR="0014390B" w:rsidRPr="00D262CC" w:rsidSect="00484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90B"/>
    <w:rsid w:val="0014390B"/>
    <w:rsid w:val="00270776"/>
    <w:rsid w:val="004845A2"/>
    <w:rsid w:val="00600D0F"/>
    <w:rsid w:val="007A6BC3"/>
    <w:rsid w:val="00851B0B"/>
    <w:rsid w:val="00A962D1"/>
    <w:rsid w:val="00AD4F32"/>
    <w:rsid w:val="00D2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90B"/>
    <w:rPr>
      <w:color w:val="0000FF" w:themeColor="hyperlink"/>
      <w:u w:val="single"/>
    </w:rPr>
  </w:style>
  <w:style w:type="character" w:customStyle="1" w:styleId="FontStyle36">
    <w:name w:val="Font Style36"/>
    <w:basedOn w:val="a0"/>
    <w:uiPriority w:val="99"/>
    <w:rsid w:val="0014390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75B9BEEA722A1DF73BBE658CDFBC4CF750C4771F36BE84455AA738EAC289F52C3E5D5AB92C2E4JBL" TargetMode="External"/><Relationship Id="rId3" Type="http://schemas.openxmlformats.org/officeDocument/2006/relationships/webSettings" Target="webSettings.xml"/><Relationship Id="rId7" Type="http://schemas.openxmlformats.org/officeDocument/2006/relationships/hyperlink" Target="consultantplus://offline/ref=7979FA053D5368C2F6EB961DCDD09499FD1912F1306610A9F9471D104483BBBB010298EB7FB09C6Bv36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79FA053D5368C2F6EB961DCDD09499FE1C10F8316610A9F9471D1044v863K" TargetMode="External"/><Relationship Id="rId11" Type="http://schemas.openxmlformats.org/officeDocument/2006/relationships/fontTable" Target="fontTable.xml"/><Relationship Id="rId5" Type="http://schemas.openxmlformats.org/officeDocument/2006/relationships/hyperlink" Target="consultantplus://offline/ref=658D25ADABE27941D45D2F2A1767D28ECBA5D417FE3866D13875ED1F2EE5074CDC366E70FEKD5FK" TargetMode="External"/><Relationship Id="rId10" Type="http://schemas.openxmlformats.org/officeDocument/2006/relationships/hyperlink" Target="consultantplus://offline/ref=3BF3F759993962407A5C6D47C6C41E7F957E0681CAC2CD0EDA30950E2A78816B85BBAAE08011F5E042VDH" TargetMode="External"/><Relationship Id="rId4" Type="http://schemas.openxmlformats.org/officeDocument/2006/relationships/hyperlink" Target="consultantplus://offline/ref=C6E36DBB95E531FE445E5FFED130EE1C7E7049A9E5A7E6611B99C7CDE8B598E388C29F6B87A26506xBA1J" TargetMode="External"/><Relationship Id="rId9" Type="http://schemas.openxmlformats.org/officeDocument/2006/relationships/hyperlink" Target="consultantplus://offline/ref=467876044085528C12BB1E33381C0CF8561295517C0F94CA960269FD21AF485AAEBD0DC01B044D59OF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3402</Words>
  <Characters>19394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Волгоградское УФАС России</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to34-vlasova</dc:creator>
  <cp:lastModifiedBy>nikuiko</cp:lastModifiedBy>
  <cp:revision>3</cp:revision>
  <dcterms:created xsi:type="dcterms:W3CDTF">2017-09-28T11:51:00Z</dcterms:created>
  <dcterms:modified xsi:type="dcterms:W3CDTF">2017-09-28T11:57:00Z</dcterms:modified>
</cp:coreProperties>
</file>